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00"/>
      </w:pPr>
      <w:r>
        <w:rPr>
          <w:b/>
          <w:i w:val="0"/>
          <w:color w:val="556075"/>
          <w:sz w:val="17"/>
        </w:rPr>
        <w:t>DEFENCE HUB  ·  CzechInvest  ·  NATO DIANA Accelerator Czechia</w:t>
      </w:r>
    </w:p>
    <w:p>
      <w:pPr>
        <w:spacing w:before="0" w:after="80"/>
      </w:pPr>
      <w:r>
        <w:rPr>
          <w:b/>
          <w:i w:val="0"/>
          <w:color w:val="13234E"/>
          <w:sz w:val="40"/>
        </w:rPr>
        <w:t>Průvodce přihláškou: NATO ACT Quantum Zero Beacon Project</w:t>
      </w:r>
    </w:p>
    <w:p>
      <w:pPr>
        <w:spacing w:before="0" w:after="200"/>
      </w:pPr>
      <w:r>
        <w:rPr>
          <w:b w:val="0"/>
          <w:i w:val="0"/>
          <w:color w:val="556075"/>
          <w:sz w:val="23"/>
        </w:rPr>
        <w:t>Jak podat nabídku do zakázky RFP-ACT-SACT-26-90 na pilot post-quantum kryptografie mezi NATO HQ a SHAPE. Shrnutí zadávací dokumentace, hodnocení a struktury nabídky. Stav k 30. 10. 2026.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Borders>
          <w:top w:val="single" w:sz="4" w:color="D5DCEA"/>
          <w:left w:val="single" w:sz="4" w:color="D5DCEA"/>
          <w:bottom w:val="single" w:sz="4" w:color="D5DCEA"/>
          <w:right w:val="single" w:sz="4" w:color="D5DCEA"/>
          <w:insideH w:val="single" w:sz="4" w:color="D5DCEA"/>
          <w:insideV w:val="single" w:sz="4" w:color="D5DCEA"/>
        </w:tblBorders>
      </w:tblPr>
      <w:tblGrid>
        <w:gridCol w:w="2041"/>
        <w:gridCol w:w="7030"/>
      </w:tblGrid>
      <w:tr>
        <w:trPr>
          <w:cantSplit w:val="true"/>
        </w:trPr>
        <w:tc>
          <w:tcPr>
            <w:tcW w:type="dxa" w:w="2041"/>
            <w:shd w:val="clear" w:color="auto" w:fill="F3F6FC"/>
          </w:tcPr>
          <w:p>
            <w:pPr>
              <w:spacing w:after="40" w:before="40"/>
            </w:pPr>
            <w:r>
              <w:rPr>
                <w:b/>
                <w:i w:val="0"/>
                <w:sz w:val="19"/>
              </w:rPr>
              <w:t>Typ</w:t>
            </w:r>
          </w:p>
        </w:tc>
        <w:tc>
          <w:tcPr>
            <w:tcW w:type="dxa" w:w="7030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Zakázka s pevnou cenou (Firm Fixed Price), ne grant</w:t>
            </w:r>
          </w:p>
        </w:tc>
      </w:tr>
      <w:tr>
        <w:trPr>
          <w:cantSplit w:val="true"/>
        </w:trPr>
        <w:tc>
          <w:tcPr>
            <w:tcW w:type="dxa" w:w="2041"/>
          </w:tcPr>
          <w:p>
            <w:pPr>
              <w:spacing w:after="40" w:before="40"/>
            </w:pPr>
            <w:r>
              <w:rPr>
                <w:b/>
                <w:i w:val="0"/>
                <w:sz w:val="19"/>
              </w:rPr>
              <w:t>Zadavatel</w:t>
            </w:r>
          </w:p>
        </w:tc>
        <w:tc>
          <w:tcPr>
            <w:tcW w:type="dxa" w:w="7030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HQ SACT, velitelství NATO Allied Command Transformation (Norfolk, USA)</w:t>
            </w:r>
          </w:p>
        </w:tc>
      </w:tr>
      <w:tr>
        <w:trPr>
          <w:cantSplit w:val="true"/>
        </w:trPr>
        <w:tc>
          <w:tcPr>
            <w:tcW w:type="dxa" w:w="2041"/>
            <w:shd w:val="clear" w:color="auto" w:fill="F3F6FC"/>
          </w:tcPr>
          <w:p>
            <w:pPr>
              <w:spacing w:after="40" w:before="40"/>
            </w:pPr>
            <w:r>
              <w:rPr>
                <w:b/>
                <w:i w:val="0"/>
                <w:sz w:val="19"/>
              </w:rPr>
              <w:t>Předmět</w:t>
            </w:r>
          </w:p>
        </w:tc>
        <w:tc>
          <w:tcPr>
            <w:tcW w:type="dxa" w:w="7030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Návrh, stavba, provoz a vyhodnocení pilotu přechodu na post-quantum cryptography (PQC), 13 deliverables</w:t>
            </w:r>
          </w:p>
        </w:tc>
      </w:tr>
      <w:tr>
        <w:trPr>
          <w:cantSplit w:val="true"/>
        </w:trPr>
        <w:tc>
          <w:tcPr>
            <w:tcW w:type="dxa" w:w="2041"/>
          </w:tcPr>
          <w:p>
            <w:pPr>
              <w:spacing w:after="40" w:before="40"/>
            </w:pPr>
            <w:r>
              <w:rPr>
                <w:b/>
                <w:i w:val="0"/>
                <w:sz w:val="19"/>
              </w:rPr>
              <w:t>Uzávěrka</w:t>
            </w:r>
          </w:p>
        </w:tc>
        <w:tc>
          <w:tcPr>
            <w:tcW w:type="dxa" w:w="7030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12. 11. 2026, 9:00 Eastern Time (Norfolk), tj. 15:00 našeho času</w:t>
            </w:r>
          </w:p>
        </w:tc>
      </w:tr>
      <w:tr>
        <w:trPr>
          <w:cantSplit w:val="true"/>
        </w:trPr>
        <w:tc>
          <w:tcPr>
            <w:tcW w:type="dxa" w:w="2041"/>
            <w:shd w:val="clear" w:color="auto" w:fill="F3F6FC"/>
          </w:tcPr>
          <w:p>
            <w:pPr>
              <w:spacing w:after="40" w:before="40"/>
            </w:pPr>
            <w:r>
              <w:rPr>
                <w:b/>
                <w:i w:val="0"/>
                <w:sz w:val="19"/>
              </w:rPr>
              <w:t>Realizace</w:t>
            </w:r>
          </w:p>
        </w:tc>
        <w:tc>
          <w:tcPr>
            <w:tcW w:type="dxa" w:w="7030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odhadem 4. 1. až 31. 12. 2027 (T0 až T0+12 měsíců), VIP demonstrace do 30. 6. 2027</w:t>
            </w:r>
          </w:p>
        </w:tc>
      </w:tr>
      <w:tr>
        <w:trPr>
          <w:cantSplit w:val="true"/>
        </w:trPr>
        <w:tc>
          <w:tcPr>
            <w:tcW w:type="dxa" w:w="2041"/>
          </w:tcPr>
          <w:p>
            <w:pPr>
              <w:spacing w:after="40" w:before="40"/>
            </w:pPr>
            <w:r>
              <w:rPr>
                <w:b/>
                <w:i w:val="0"/>
                <w:sz w:val="19"/>
              </w:rPr>
              <w:t>Hodnota</w:t>
            </w:r>
          </w:p>
        </w:tc>
        <w:tc>
          <w:tcPr>
            <w:tcW w:type="dxa" w:w="7030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v zadávací dokumentaci neuvedena; cena se podává v USD</w:t>
            </w:r>
          </w:p>
        </w:tc>
      </w:tr>
      <w:tr>
        <w:trPr>
          <w:cantSplit w:val="true"/>
        </w:trPr>
        <w:tc>
          <w:tcPr>
            <w:tcW w:type="dxa" w:w="2041"/>
            <w:shd w:val="clear" w:color="auto" w:fill="F3F6FC"/>
          </w:tcPr>
          <w:p>
            <w:pPr>
              <w:spacing w:after="40" w:before="40"/>
            </w:pPr>
            <w:r>
              <w:rPr>
                <w:b/>
                <w:i w:val="0"/>
                <w:sz w:val="19"/>
              </w:rPr>
              <w:t>Jazyk a forma</w:t>
            </w:r>
          </w:p>
        </w:tc>
        <w:tc>
          <w:tcPr>
            <w:tcW w:type="dxa" w:w="7030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angličtina, jen e-mailem, technická a cenová nabídka zvlášť</w:t>
            </w:r>
          </w:p>
        </w:tc>
      </w:tr>
      <w:tr>
        <w:trPr>
          <w:cantSplit w:val="true"/>
        </w:trPr>
        <w:tc>
          <w:tcPr>
            <w:tcW w:type="dxa" w:w="2041"/>
          </w:tcPr>
          <w:p>
            <w:pPr>
              <w:spacing w:after="40" w:before="40"/>
            </w:pPr>
            <w:r>
              <w:rPr>
                <w:b/>
                <w:i w:val="0"/>
                <w:sz w:val="19"/>
              </w:rPr>
              <w:t>Zadání</w:t>
            </w:r>
          </w:p>
        </w:tc>
        <w:tc>
          <w:tcPr>
            <w:tcW w:type="dxa" w:w="7030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act.nato.int/opportunities/contracting/rfp-act-sact-26-90/</w:t>
            </w:r>
          </w:p>
        </w:tc>
      </w:tr>
    </w:tbl>
    <w:p>
      <w:pPr>
        <w:spacing w:after="40"/>
      </w:pPr>
    </w:p>
    <w:p>
      <w:pPr>
        <w:spacing w:before="280" w:after="80"/>
      </w:pPr>
      <w:r>
        <w:rPr>
          <w:b/>
          <w:i w:val="0"/>
          <w:color w:val="13234E"/>
          <w:sz w:val="26"/>
        </w:rPr>
        <w:t>1.  Co to je a proč to existuje</w:t>
      </w:r>
    </w:p>
    <w:p>
      <w:pPr>
        <w:spacing w:before="0" w:after="120"/>
      </w:pPr>
      <w:r>
        <w:rPr>
          <w:b w:val="0"/>
          <w:i w:val="0"/>
          <w:sz w:val="21"/>
        </w:rPr>
        <w:t xml:space="preserve">NATO zveřejnilo 29. 9. 2026 </w:t>
      </w:r>
      <w:r>
        <w:rPr>
          <w:b/>
          <w:i w:val="0"/>
          <w:color w:val="13234E"/>
          <w:sz w:val="21"/>
        </w:rPr>
        <w:t>Quantum Technology Roadmap</w:t>
      </w:r>
      <w:r>
        <w:rPr>
          <w:b w:val="0"/>
          <w:i w:val="0"/>
          <w:sz w:val="21"/>
        </w:rPr>
        <w:t>. V linii Line of Effort 3 (standardizace a interoperabilita) uvádí Quantum Zero Beacon Project (QZBP) jako „praktickou cestu k přechodu NATO na quantum-resilient communications“ (komunikace odolné vůči kvantovým počítačům) a jako pilotní nasazení mezi NATO HQ v Bruselu a SHAPE v Monsu s termínem Q4 2027.</w:t>
      </w:r>
    </w:p>
    <w:p>
      <w:pPr>
        <w:spacing w:before="0" w:after="120"/>
      </w:pPr>
      <w:r>
        <w:rPr>
          <w:b w:val="0"/>
          <w:i w:val="0"/>
          <w:sz w:val="21"/>
        </w:rPr>
        <w:t>Zakázku RFP-ACT-SACT-26-90 vypsalo HQ SACT. Cílem je podle zadání „prototypovat, otestovat a ověřit praktickou cestu přechodu NATO na quantum-safe kryptografii“. Výsledkem není produkční nasazení, ale prototyp a doporučení pro migraci celé Aliance.</w:t>
      </w:r>
    </w:p>
    <w:p>
      <w:pPr>
        <w:spacing w:before="0" w:after="120"/>
      </w:pPr>
      <w:r>
        <w:rPr>
          <w:b w:val="0"/>
          <w:i w:val="0"/>
          <w:sz w:val="21"/>
        </w:rPr>
        <w:t>Výzvu rozeslala i TQC Industry Network (síť průmyslu při NATO Transatlantic Quantum Community). Roadmapa ji popisuje jako neformální fórum.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2.  Co přesně se dodává</w:t>
      </w:r>
    </w:p>
    <w:p>
      <w:pPr>
        <w:spacing w:before="0" w:after="120"/>
      </w:pPr>
      <w:r>
        <w:rPr>
          <w:b w:val="0"/>
          <w:i w:val="0"/>
          <w:sz w:val="21"/>
        </w:rPr>
        <w:t>Práce probíhá ve dvou prostředích: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Pilot Environment:</w:t>
      </w:r>
      <w:r>
        <w:rPr>
          <w:b w:val="0"/>
          <w:i w:val="0"/>
          <w:sz w:val="21"/>
        </w:rPr>
        <w:t xml:space="preserve"> experimentální prostředí CFBLNet AQUA (NATO UNCLASSIFIED) s uzly SHAPE Mons, NATO HQ Brusel a hubem NCIA v Haagu. Používají se </w:t>
      </w:r>
      <w:r>
        <w:rPr>
          <w:b/>
          <w:i w:val="0"/>
          <w:color w:val="13234E"/>
          <w:sz w:val="21"/>
        </w:rPr>
        <w:t>jen syntetická data</w:t>
      </w:r>
      <w:r>
        <w:rPr>
          <w:b w:val="0"/>
          <w:i w:val="0"/>
          <w:sz w:val="21"/>
        </w:rPr>
        <w:t>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Deployment Environment:</w:t>
      </w:r>
      <w:r>
        <w:rPr>
          <w:b w:val="0"/>
          <w:i w:val="0"/>
          <w:sz w:val="21"/>
        </w:rPr>
        <w:t xml:space="preserve"> vybrané prostředí NATO UNCLASSIFIED se systémy v provozu. Veškerá činnost dodavatele tam musí být </w:t>
      </w:r>
      <w:r>
        <w:rPr>
          <w:b/>
          <w:i w:val="0"/>
          <w:color w:val="13234E"/>
          <w:sz w:val="21"/>
        </w:rPr>
        <w:t>read-only a neinvazivní</w:t>
      </w:r>
      <w:r>
        <w:rPr>
          <w:b w:val="0"/>
          <w:i w:val="0"/>
          <w:sz w:val="21"/>
        </w:rPr>
        <w:t>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V rozsahu:</w:t>
      </w:r>
      <w:r>
        <w:rPr>
          <w:b w:val="0"/>
          <w:i w:val="0"/>
          <w:sz w:val="21"/>
        </w:rPr>
        <w:t xml:space="preserve"> PQC algoritmy ML-KEM, ML-DSA a SLH-DSA, hybridní i čisté PQC režimy, PKI a certifikáty, správa klíčů, crypto-agility, nástroj na inventuru kryptografie a CBOM (cryptographic bill of materials, soupis kryptografie v systémech).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Mimo rozsah:</w:t>
      </w:r>
      <w:r>
        <w:rPr>
          <w:b w:val="0"/>
          <w:i w:val="0"/>
          <w:sz w:val="21"/>
        </w:rPr>
        <w:t xml:space="preserve"> </w:t>
      </w:r>
      <w:r>
        <w:rPr>
          <w:b/>
          <w:i w:val="0"/>
          <w:color w:val="13234E"/>
          <w:sz w:val="21"/>
        </w:rPr>
        <w:t>Quantum Key Distribution (QKD)</w:t>
      </w:r>
      <w:r>
        <w:rPr>
          <w:b w:val="0"/>
          <w:i w:val="0"/>
          <w:sz w:val="21"/>
        </w:rPr>
        <w:t xml:space="preserve"> se nesmí použít ke splnění žádného požadavku. Mimo rozsah je i data-centric security (post-quantum binding, šifrování datové vrstvy). Quantum random number generators (QRNG) vyloučené nejsou.</w:t>
      </w:r>
    </w:p>
    <w:p>
      <w:pPr>
        <w:keepNext/>
        <w:spacing w:before="0" w:after="80"/>
      </w:pPr>
      <w:r>
        <w:rPr>
          <w:b w:val="0"/>
          <w:i w:val="0"/>
          <w:sz w:val="21"/>
        </w:rPr>
        <w:t>Deliverables a milníky (T0 = podpis smlouvy oběma stranami):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Borders>
          <w:top w:val="single" w:sz="4" w:color="D5DCEA"/>
          <w:left w:val="single" w:sz="4" w:color="D5DCEA"/>
          <w:bottom w:val="single" w:sz="4" w:color="D5DCEA"/>
          <w:right w:val="single" w:sz="4" w:color="D5DCEA"/>
          <w:insideH w:val="single" w:sz="4" w:color="D5DCEA"/>
          <w:insideV w:val="single" w:sz="4" w:color="D5DCEA"/>
        </w:tblBorders>
      </w:tblPr>
      <w:tblGrid>
        <w:gridCol w:w="737"/>
        <w:gridCol w:w="4649"/>
        <w:gridCol w:w="3685"/>
      </w:tblGrid>
      <w:tr>
        <w:trPr>
          <w:tblHeader w:val="true"/>
          <w:cantSplit w:val="true"/>
        </w:trPr>
        <w:tc>
          <w:tcPr>
            <w:tcW w:type="dxa" w:w="737"/>
            <w:shd w:val="clear" w:color="auto" w:fill="13234E"/>
          </w:tcPr>
          <w:p>
            <w:pPr>
              <w:keepNext/>
              <w:spacing w:after="40" w:before="40"/>
            </w:pPr>
            <w:r>
              <w:rPr>
                <w:b/>
                <w:i w:val="0"/>
                <w:color w:val="FFFFFF"/>
                <w:sz w:val="19"/>
              </w:rPr>
              <w:t>Ref.</w:t>
            </w:r>
          </w:p>
        </w:tc>
        <w:tc>
          <w:tcPr>
            <w:tcW w:type="dxa" w:w="4649"/>
            <w:shd w:val="clear" w:color="auto" w:fill="13234E"/>
          </w:tcPr>
          <w:p>
            <w:pPr>
              <w:keepNext/>
              <w:spacing w:after="40" w:before="40"/>
            </w:pPr>
            <w:r>
              <w:rPr>
                <w:b/>
                <w:i w:val="0"/>
                <w:color w:val="FFFFFF"/>
                <w:sz w:val="19"/>
              </w:rPr>
              <w:t>Výstup</w:t>
            </w:r>
          </w:p>
        </w:tc>
        <w:tc>
          <w:tcPr>
            <w:tcW w:type="dxa" w:w="3685"/>
            <w:shd w:val="clear" w:color="auto" w:fill="13234E"/>
          </w:tcPr>
          <w:p>
            <w:pPr>
              <w:keepNext/>
              <w:spacing w:after="40" w:before="40"/>
            </w:pPr>
            <w:r>
              <w:rPr>
                <w:b/>
                <w:i w:val="0"/>
                <w:color w:val="FFFFFF"/>
                <w:sz w:val="19"/>
              </w:rPr>
              <w:t>Termín (milník)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D1</w:t>
            </w:r>
          </w:p>
        </w:tc>
        <w:tc>
          <w:tcPr>
            <w:tcW w:type="dxa" w:w="4649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Project Management Plan</w:t>
            </w:r>
          </w:p>
        </w:tc>
        <w:tc>
          <w:tcPr>
            <w:tcW w:type="dxa" w:w="3685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MS1 (T0+2)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D2</w:t>
            </w:r>
          </w:p>
        </w:tc>
        <w:tc>
          <w:tcPr>
            <w:tcW w:type="dxa" w:w="4649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Aktualizovaná architektura a úvodní plán experimentů</w:t>
            </w:r>
          </w:p>
        </w:tc>
        <w:tc>
          <w:tcPr>
            <w:tcW w:type="dxa" w:w="3685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MS1 (T0+2)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D3</w:t>
            </w:r>
          </w:p>
        </w:tc>
        <w:tc>
          <w:tcPr>
            <w:tcW w:type="dxa" w:w="4649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Pilot environment: nasazená experimentální platforma</w:t>
            </w:r>
          </w:p>
        </w:tc>
        <w:tc>
          <w:tcPr>
            <w:tcW w:type="dxa" w:w="3685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MS2 úvodní (T0+4), MS4 finální (T0+8)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D4</w:t>
            </w:r>
          </w:p>
        </w:tc>
        <w:tc>
          <w:tcPr>
            <w:tcW w:type="dxa" w:w="4649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Accreditation support package (podklady k akreditaci)</w:t>
            </w:r>
          </w:p>
        </w:tc>
        <w:tc>
          <w:tcPr>
            <w:tcW w:type="dxa" w:w="3685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MS1 podání (T0+2), MS2 schválení pro testy (T0+4)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D5</w:t>
            </w:r>
          </w:p>
        </w:tc>
        <w:tc>
          <w:tcPr>
            <w:tcW w:type="dxa" w:w="4649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CBOM a posouzení expozice</w:t>
            </w:r>
          </w:p>
        </w:tc>
        <w:tc>
          <w:tcPr>
            <w:tcW w:type="dxa" w:w="3685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MS3 PE (30. 6. 2027), MS5 DE (T0+10)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D6</w:t>
            </w:r>
          </w:p>
        </w:tc>
        <w:tc>
          <w:tcPr>
            <w:tcW w:type="dxa" w:w="4649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Plán experimentů a výsledky</w:t>
            </w:r>
          </w:p>
        </w:tc>
        <w:tc>
          <w:tcPr>
            <w:tcW w:type="dxa" w:w="3685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MS2 plán (T0+4), MS4 první výsledky (T0+8), MS6 finální (T0+11)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D7</w:t>
            </w:r>
          </w:p>
        </w:tc>
        <w:tc>
          <w:tcPr>
            <w:tcW w:type="dxa" w:w="4649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Ověřená crypto-agile referenční architektura</w:t>
            </w:r>
          </w:p>
        </w:tc>
        <w:tc>
          <w:tcPr>
            <w:tcW w:type="dxa" w:w="3685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MS3 základ (30. 6. 2027), MS6 ověřená (T0+11)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D8</w:t>
            </w:r>
          </w:p>
        </w:tc>
        <w:tc>
          <w:tcPr>
            <w:tcW w:type="dxa" w:w="4649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Technické zprávy, lessons learned</w:t>
            </w:r>
          </w:p>
        </w:tc>
        <w:tc>
          <w:tcPr>
            <w:tcW w:type="dxa" w:w="3685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MS3 průběžná (30. 6. 2027), MS6 (T0+11), MS7 finální (T0+12)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D9</w:t>
            </w:r>
          </w:p>
        </w:tc>
        <w:tc>
          <w:tcPr>
            <w:tcW w:type="dxa" w:w="4649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Doporučení pro migraci na quantum-safe</w:t>
            </w:r>
          </w:p>
        </w:tc>
        <w:tc>
          <w:tcPr>
            <w:tcW w:type="dxa" w:w="3685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MS6 návrh (T0+11), MS7 finální (T0+12)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D10</w:t>
            </w:r>
          </w:p>
        </w:tc>
        <w:tc>
          <w:tcPr>
            <w:tcW w:type="dxa" w:w="4649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Assurance and audit package</w:t>
            </w:r>
          </w:p>
        </w:tc>
        <w:tc>
          <w:tcPr>
            <w:tcW w:type="dxa" w:w="3685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MS5 průběžný (T0+10), MS6 finální (T0+11)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D11</w:t>
            </w:r>
          </w:p>
        </w:tc>
        <w:tc>
          <w:tcPr>
            <w:tcW w:type="dxa" w:w="4649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VIP demonstrace pro NATO</w:t>
            </w:r>
          </w:p>
        </w:tc>
        <w:tc>
          <w:tcPr>
            <w:tcW w:type="dxa" w:w="3685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MS3 (30. 6. 2027)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D12</w:t>
            </w:r>
          </w:p>
        </w:tc>
        <w:tc>
          <w:tcPr>
            <w:tcW w:type="dxa" w:w="4649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Předání a přenos know-how</w:t>
            </w:r>
          </w:p>
        </w:tc>
        <w:tc>
          <w:tcPr>
            <w:tcW w:type="dxa" w:w="3685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MS6 školení (T0+11), MS7 finální (T0+12)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D13</w:t>
            </w:r>
          </w:p>
        </w:tc>
        <w:tc>
          <w:tcPr>
            <w:tcW w:type="dxa" w:w="4649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Posouzení a ukázka nastupujících kryptografických schopností</w:t>
            </w:r>
          </w:p>
        </w:tc>
        <w:tc>
          <w:tcPr>
            <w:tcW w:type="dxa" w:w="3685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MS6 (T0+11), MS7 finální (T0+12)</w:t>
            </w:r>
          </w:p>
        </w:tc>
      </w:tr>
    </w:tbl>
    <w:p>
      <w:pPr>
        <w:spacing w:after="40"/>
      </w:pPr>
    </w:p>
    <w:p>
      <w:pPr>
        <w:spacing w:before="0" w:after="120"/>
      </w:pPr>
      <w:r>
        <w:rPr>
          <w:b w:val="0"/>
          <w:i w:val="0"/>
          <w:sz w:val="21"/>
        </w:rPr>
        <w:t xml:space="preserve">Místa plnění: SHAPE Mons, NATO HQ Brusel, NCIA Haag a prostory dodavatele. Cesty do Norfolku jen výjimečně a po dohodě. Cestovní náklady k milníkům musí být </w:t>
      </w:r>
      <w:r>
        <w:rPr>
          <w:b/>
          <w:i w:val="0"/>
          <w:color w:val="13234E"/>
          <w:sz w:val="21"/>
        </w:rPr>
        <w:t>zahrnuté v ceně</w:t>
      </w:r>
      <w:r>
        <w:rPr>
          <w:b w:val="0"/>
          <w:i w:val="0"/>
          <w:sz w:val="21"/>
        </w:rPr>
        <w:t>, samostatně se neproplácí.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3.  Kdo může podat nabídku</w:t>
      </w:r>
    </w:p>
    <w:p>
      <w:pPr>
        <w:spacing w:before="0" w:after="120"/>
      </w:pPr>
      <w:r>
        <w:rPr>
          <w:b w:val="0"/>
          <w:i w:val="0"/>
          <w:sz w:val="21"/>
        </w:rPr>
        <w:t>Hodnocení má dvě fáze. V první (vyhovuje / nevyhovuje) musí nabídka splnit všech pět povinných podmínek, jinak se dál nehodnotí: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1.</w:t>
      </w:r>
      <w:r>
        <w:rPr>
          <w:b w:val="0"/>
          <w:i w:val="0"/>
          <w:sz w:val="21"/>
        </w:rPr>
        <w:tab/>
        <w:t>Sídlo v členském státě NATO a všichni lidé dodavatele jsou občany států NATO.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2.</w:t>
      </w:r>
      <w:r>
        <w:rPr>
          <w:b w:val="0"/>
          <w:i w:val="0"/>
          <w:sz w:val="21"/>
        </w:rPr>
        <w:tab/>
        <w:t xml:space="preserve">NATO SECRET Facility Security Clearance (FSC) pro uchazeče i všechny subdodavatele a členy konsorcia a NATO SECRET Personnel Security Clearance (PSC) pro navržený tým, obojí platné </w:t>
      </w:r>
      <w:r>
        <w:rPr>
          <w:b/>
          <w:i w:val="0"/>
          <w:color w:val="13234E"/>
          <w:sz w:val="21"/>
        </w:rPr>
        <w:t>k začátku plnění smlouvy</w:t>
      </w:r>
      <w:r>
        <w:rPr>
          <w:b w:val="0"/>
          <w:i w:val="0"/>
          <w:sz w:val="21"/>
        </w:rPr>
        <w:t>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3.</w:t>
      </w:r>
      <w:r>
        <w:rPr>
          <w:b w:val="0"/>
          <w:i w:val="0"/>
          <w:sz w:val="21"/>
        </w:rPr>
        <w:tab/>
        <w:t xml:space="preserve">Minimálně </w:t>
      </w:r>
      <w:r>
        <w:rPr>
          <w:b/>
          <w:i w:val="0"/>
          <w:color w:val="13234E"/>
          <w:sz w:val="21"/>
        </w:rPr>
        <w:t>3 reference</w:t>
      </w:r>
      <w:r>
        <w:rPr>
          <w:b w:val="0"/>
          <w:i w:val="0"/>
          <w:sz w:val="21"/>
        </w:rPr>
        <w:t xml:space="preserve"> (past performance) za posledních 5 let, každá s podrobným popisem relevantní práce. Obecné nebo vágní reference znamenají vyřazení.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4.</w:t>
      </w:r>
      <w:r>
        <w:rPr>
          <w:b w:val="0"/>
          <w:i w:val="0"/>
          <w:sz w:val="21"/>
        </w:rPr>
        <w:tab/>
        <w:t>Klíčoví lidé jsou občané NATO s platným pasem a bez cestovních omezení; uvádějí všechna svá občanství.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5.</w:t>
      </w:r>
      <w:r>
        <w:rPr>
          <w:b w:val="0"/>
          <w:i w:val="0"/>
          <w:sz w:val="21"/>
        </w:rPr>
        <w:tab/>
        <w:t>Technická část dosáhne alespoň 60 bodů ze 100 v hodnocení Best Value.</w:t>
      </w:r>
    </w:p>
    <w:p>
      <w:pPr>
        <w:spacing w:before="0" w:after="120"/>
      </w:pPr>
      <w:r>
        <w:rPr>
          <w:b w:val="0"/>
          <w:i w:val="0"/>
          <w:sz w:val="21"/>
        </w:rPr>
        <w:t>Dodavatel navíc musí umět přijímat, ukládat, zpracovávat a předávat informace NATO RESTRICTED podle bezpečnostních předpisů NATO, a to i ve vlastních prostorách.</w:t>
      </w:r>
    </w:p>
    <w:p>
      <w:pPr>
        <w:spacing w:before="0" w:after="120"/>
      </w:pPr>
      <w:r>
        <w:rPr>
          <w:b w:val="0"/>
          <w:i w:val="0"/>
          <w:sz w:val="21"/>
        </w:rPr>
        <w:t>Konsorcium je možné. Musí mít smlouvu podepsanou všemi členy a určeného lídra s plnou pravomocí (přes smlouvu nebo neodvolatelnou plnou moc od všech členů). Doklad o pravomoci se přikládá k nabídce. Za celé plnění odpovídá hlavní dodavatel; zadání některých úkolů subdodavatelům schvaluje Contracting Officer.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4.  Declaration of Eligibility, nejkratší cesta k vyřazení</w:t>
      </w:r>
    </w:p>
    <w:p>
      <w:pPr>
        <w:spacing w:before="0" w:after="120"/>
      </w:pPr>
      <w:r>
        <w:rPr>
          <w:b w:val="0"/>
          <w:i w:val="0"/>
          <w:sz w:val="21"/>
        </w:rPr>
        <w:t xml:space="preserve">Declaration of Eligibility (DoE, formulář Enclosure 5) vydává národní autorita země původu uchazeče („National Responsible Authority“). Potřebuje ji </w:t>
      </w:r>
      <w:r>
        <w:rPr>
          <w:b/>
          <w:i w:val="0"/>
          <w:color w:val="13234E"/>
          <w:sz w:val="21"/>
        </w:rPr>
        <w:t>hlavní dodavatel i každý subdodavatel</w:t>
      </w:r>
      <w:r>
        <w:rPr>
          <w:b w:val="0"/>
          <w:i w:val="0"/>
          <w:sz w:val="21"/>
        </w:rPr>
        <w:t>. Nabídka je nevyhovující, pokud DoE kteréhokoli partnera nedorazí do uzávěrky nabídek. Zadavatel vyzývá uchazeče, ať o ni žádají okamžitě.</w:t>
      </w:r>
    </w:p>
    <w:p>
      <w:pPr>
        <w:spacing w:before="0" w:after="120"/>
      </w:pPr>
      <w:r>
        <w:rPr>
          <w:b w:val="0"/>
          <w:i w:val="0"/>
          <w:sz w:val="21"/>
        </w:rPr>
        <w:t xml:space="preserve">Zadávací dokumentace neuvádí, jak a komu se DoE posílá. Pro české firmy: kontaktní místo, které DoE pro zakázky HQ SACT vydává, jsme k 30. 10. 2026 neověřili. Pokud o nabídce uvažujete, </w:t>
      </w:r>
      <w:r>
        <w:rPr>
          <w:b/>
          <w:i w:val="0"/>
          <w:color w:val="13234E"/>
          <w:sz w:val="21"/>
        </w:rPr>
        <w:t>ozvěte se nám hned</w:t>
      </w:r>
      <w:r>
        <w:rPr>
          <w:b w:val="0"/>
          <w:i w:val="0"/>
          <w:sz w:val="21"/>
        </w:rPr>
        <w:t>, pomůžeme zjistit, na koho se obrátit. Na vyřízení zbývají dny, ne týdny.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5.  Jak se nabídky hodnotí</w:t>
      </w:r>
    </w:p>
    <w:p>
      <w:pPr>
        <w:spacing w:before="0" w:after="80"/>
      </w:pPr>
      <w:r>
        <w:rPr>
          <w:b w:val="0"/>
          <w:i w:val="0"/>
          <w:sz w:val="21"/>
        </w:rPr>
        <w:t xml:space="preserve">Ve druhé fázi se technická část boduje podle 12 kritérií, celkem 100 bodů. Váha techniky a ceny je </w:t>
      </w:r>
      <w:r>
        <w:rPr>
          <w:b/>
          <w:i w:val="0"/>
          <w:color w:val="13234E"/>
          <w:sz w:val="21"/>
        </w:rPr>
        <w:t>70 : 30</w:t>
      </w:r>
      <w:r>
        <w:rPr>
          <w:b w:val="0"/>
          <w:i w:val="0"/>
          <w:sz w:val="21"/>
        </w:rPr>
        <w:t xml:space="preserve"> (Best Value for Money). Vzorec pro bodování ceny dokumentace neuvádí. Nula bodů u kteréhokoli kritéria nebo méně než 60 bodů celkem znamená technicky nevyhovující nabídku.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Layout w:type="fixed"/>
        <w:tblBorders>
          <w:top w:val="single" w:sz="4" w:color="D5DCEA"/>
          <w:left w:val="single" w:sz="4" w:color="D5DCEA"/>
          <w:bottom w:val="single" w:sz="4" w:color="D5DCEA"/>
          <w:right w:val="single" w:sz="4" w:color="D5DCEA"/>
          <w:insideH w:val="single" w:sz="4" w:color="D5DCEA"/>
          <w:insideV w:val="single" w:sz="4" w:color="D5DCEA"/>
        </w:tblBorders>
      </w:tblPr>
      <w:tblGrid>
        <w:gridCol w:w="737"/>
        <w:gridCol w:w="6633"/>
        <w:gridCol w:w="1701"/>
      </w:tblGrid>
      <w:tr>
        <w:trPr>
          <w:tblHeader w:val="true"/>
          <w:cantSplit w:val="true"/>
        </w:trPr>
        <w:tc>
          <w:tcPr>
            <w:tcW w:type="dxa" w:w="737"/>
            <w:shd w:val="clear" w:color="auto" w:fill="13234E"/>
          </w:tcPr>
          <w:p>
            <w:pPr>
              <w:keepNext/>
              <w:spacing w:after="40" w:before="40"/>
            </w:pPr>
            <w:r>
              <w:rPr>
                <w:b/>
                <w:i w:val="0"/>
                <w:color w:val="FFFFFF"/>
                <w:sz w:val="19"/>
              </w:rPr>
              <w:t>Č.</w:t>
            </w:r>
          </w:p>
        </w:tc>
        <w:tc>
          <w:tcPr>
            <w:tcW w:type="dxa" w:w="6633"/>
            <w:shd w:val="clear" w:color="auto" w:fill="13234E"/>
          </w:tcPr>
          <w:p>
            <w:pPr>
              <w:keepNext/>
              <w:spacing w:after="40" w:before="40"/>
            </w:pPr>
            <w:r>
              <w:rPr>
                <w:b/>
                <w:i w:val="0"/>
                <w:color w:val="FFFFFF"/>
                <w:sz w:val="19"/>
              </w:rPr>
              <w:t>Kritérium (= sekce narativu)</w:t>
            </w:r>
          </w:p>
        </w:tc>
        <w:tc>
          <w:tcPr>
            <w:tcW w:type="dxa" w:w="1701"/>
            <w:shd w:val="clear" w:color="auto" w:fill="13234E"/>
          </w:tcPr>
          <w:p>
            <w:pPr>
              <w:keepNext/>
              <w:spacing w:after="40" w:before="40"/>
            </w:pPr>
            <w:r>
              <w:rPr>
                <w:b/>
                <w:i w:val="0"/>
                <w:color w:val="FFFFFF"/>
                <w:sz w:val="19"/>
              </w:rPr>
              <w:t>Body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</w:t>
            </w:r>
          </w:p>
        </w:tc>
        <w:tc>
          <w:tcPr>
            <w:tcW w:type="dxa" w:w="6633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Key establishment</w:t>
            </w:r>
          </w:p>
        </w:tc>
        <w:tc>
          <w:tcPr>
            <w:tcW w:type="dxa" w:w="1701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10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2</w:t>
            </w:r>
          </w:p>
        </w:tc>
        <w:tc>
          <w:tcPr>
            <w:tcW w:type="dxa" w:w="6633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Authentication</w:t>
            </w:r>
          </w:p>
        </w:tc>
        <w:tc>
          <w:tcPr>
            <w:tcW w:type="dxa" w:w="1701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10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3</w:t>
            </w:r>
          </w:p>
        </w:tc>
        <w:tc>
          <w:tcPr>
            <w:tcW w:type="dxa" w:w="6633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PKI and certificates</w:t>
            </w:r>
          </w:p>
        </w:tc>
        <w:tc>
          <w:tcPr>
            <w:tcW w:type="dxa" w:w="1701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9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4</w:t>
            </w:r>
          </w:p>
        </w:tc>
        <w:tc>
          <w:tcPr>
            <w:tcW w:type="dxa" w:w="6633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Key management and entropy</w:t>
            </w:r>
          </w:p>
        </w:tc>
        <w:tc>
          <w:tcPr>
            <w:tcW w:type="dxa" w:w="1701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9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5</w:t>
            </w:r>
          </w:p>
        </w:tc>
        <w:tc>
          <w:tcPr>
            <w:tcW w:type="dxa" w:w="6633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Algorithm strength</w:t>
            </w:r>
          </w:p>
        </w:tc>
        <w:tc>
          <w:tcPr>
            <w:tcW w:type="dxa" w:w="1701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9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6</w:t>
            </w:r>
          </w:p>
        </w:tc>
        <w:tc>
          <w:tcPr>
            <w:tcW w:type="dxa" w:w="6633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Interoperability and downgrade protection</w:t>
            </w:r>
          </w:p>
        </w:tc>
        <w:tc>
          <w:tcPr>
            <w:tcW w:type="dxa" w:w="1701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8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7</w:t>
            </w:r>
          </w:p>
        </w:tc>
        <w:tc>
          <w:tcPr>
            <w:tcW w:type="dxa" w:w="6633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Performance measurement and test plan</w:t>
            </w:r>
          </w:p>
        </w:tc>
        <w:tc>
          <w:tcPr>
            <w:tcW w:type="dxa" w:w="1701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10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8</w:t>
            </w:r>
          </w:p>
        </w:tc>
        <w:tc>
          <w:tcPr>
            <w:tcW w:type="dxa" w:w="6633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Implementation security</w:t>
            </w:r>
          </w:p>
        </w:tc>
        <w:tc>
          <w:tcPr>
            <w:tcW w:type="dxa" w:w="1701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7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9</w:t>
            </w:r>
          </w:p>
        </w:tc>
        <w:tc>
          <w:tcPr>
            <w:tcW w:type="dxa" w:w="6633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Inventory discovery tool</w:t>
            </w:r>
          </w:p>
        </w:tc>
        <w:tc>
          <w:tcPr>
            <w:tcW w:type="dxa" w:w="1701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7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10</w:t>
            </w:r>
          </w:p>
        </w:tc>
        <w:tc>
          <w:tcPr>
            <w:tcW w:type="dxa" w:w="6633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CBOM, risk prioritization and completeness</w:t>
            </w:r>
          </w:p>
        </w:tc>
        <w:tc>
          <w:tcPr>
            <w:tcW w:type="dxa" w:w="1701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6</w:t>
            </w:r>
          </w:p>
        </w:tc>
      </w:tr>
      <w:tr>
        <w:trPr>
          <w:cantSplit w:val="true"/>
        </w:trPr>
        <w:tc>
          <w:tcPr>
            <w:tcW w:type="dxa" w:w="737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11</w:t>
            </w:r>
          </w:p>
        </w:tc>
        <w:tc>
          <w:tcPr>
            <w:tcW w:type="dxa" w:w="6633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Migration approach</w:t>
            </w:r>
          </w:p>
        </w:tc>
        <w:tc>
          <w:tcPr>
            <w:tcW w:type="dxa" w:w="1701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10</w:t>
            </w:r>
          </w:p>
        </w:tc>
      </w:tr>
      <w:tr>
        <w:trPr>
          <w:cantSplit w:val="true"/>
        </w:trPr>
        <w:tc>
          <w:tcPr>
            <w:tcW w:type="dxa" w:w="737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12</w:t>
            </w:r>
          </w:p>
        </w:tc>
        <w:tc>
          <w:tcPr>
            <w:tcW w:type="dxa" w:w="6633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Security accreditation and experience</w:t>
            </w:r>
          </w:p>
        </w:tc>
        <w:tc>
          <w:tcPr>
            <w:tcW w:type="dxa" w:w="1701"/>
            <w:shd w:val="clear" w:color="auto" w:fill="F3F6FC"/>
          </w:tcPr>
          <w:p>
            <w:pPr>
              <w:spacing w:after="40" w:before="40"/>
            </w:pPr>
            <w:r>
              <w:rPr>
                <w:b w:val="0"/>
                <w:i w:val="0"/>
                <w:sz w:val="19"/>
              </w:rPr>
              <w:t>5</w:t>
            </w:r>
          </w:p>
        </w:tc>
      </w:tr>
    </w:tbl>
    <w:p>
      <w:pPr>
        <w:spacing w:after="40"/>
      </w:pPr>
    </w:p>
    <w:p>
      <w:pPr>
        <w:spacing w:before="0" w:after="120"/>
      </w:pPr>
      <w:r>
        <w:rPr>
          <w:b w:val="0"/>
          <w:i w:val="0"/>
          <w:sz w:val="21"/>
        </w:rPr>
        <w:t>Hodnoticí matice je v Annex B. Podle dokumentu měla být Annex B aktualizována v Amendment 1 nejpozději 16. 10. 2026. Pracujte vždy s nejnovější verzí z webu ACT. U kritéria 12 se hodnotí i životopisy jmenovaných lidí, kteří vedli akreditaci.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6.  Co nabídka obsahuje</w:t>
      </w:r>
    </w:p>
    <w:p>
      <w:pPr>
        <w:spacing w:before="160" w:after="60"/>
      </w:pPr>
      <w:r>
        <w:rPr>
          <w:b/>
          <w:i w:val="0"/>
          <w:color w:val="3D7A2F"/>
          <w:sz w:val="22"/>
        </w:rPr>
        <w:t>Technická nabídka (jeden podepsaný PDF, angličtina)</w:t>
      </w:r>
    </w:p>
    <w:p>
      <w:pPr>
        <w:spacing w:before="0" w:after="60"/>
      </w:pPr>
      <w:r>
        <w:rPr>
          <w:b w:val="0"/>
          <w:i w:val="0"/>
          <w:sz w:val="21"/>
        </w:rPr>
        <w:t>Administrativní část, v tomto pořadí: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1.</w:t>
      </w:r>
      <w:r>
        <w:rPr>
          <w:b w:val="0"/>
          <w:i w:val="0"/>
          <w:sz w:val="21"/>
        </w:rPr>
        <w:tab/>
        <w:t>Popis společnosti.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2.</w:t>
      </w:r>
      <w:r>
        <w:rPr>
          <w:b w:val="0"/>
          <w:i w:val="0"/>
          <w:sz w:val="21"/>
        </w:rPr>
        <w:tab/>
        <w:t>Obsah celé nabídky (podle Enclosure 1).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3.</w:t>
      </w:r>
      <w:r>
        <w:rPr>
          <w:b w:val="0"/>
          <w:i w:val="0"/>
          <w:sz w:val="21"/>
        </w:rPr>
        <w:tab/>
        <w:t>Plný název, adresa, kontaktní osoby, telefon, e-mail, web.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4.</w:t>
      </w:r>
      <w:r>
        <w:rPr>
          <w:b w:val="0"/>
          <w:i w:val="0"/>
          <w:sz w:val="21"/>
        </w:rPr>
        <w:tab/>
        <w:t>Compliance Statement (Enclosure 2).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5.</w:t>
      </w:r>
      <w:r>
        <w:rPr>
          <w:b w:val="0"/>
          <w:i w:val="0"/>
          <w:sz w:val="21"/>
        </w:rPr>
        <w:tab/>
        <w:t>Past performance (Enclosure 3).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6.</w:t>
      </w:r>
      <w:r>
        <w:rPr>
          <w:b w:val="0"/>
          <w:i w:val="0"/>
          <w:sz w:val="21"/>
        </w:rPr>
        <w:tab/>
        <w:t>Podepsaná Declaration of Eligibility (Enclosure 5), pokud ještě nebyla zaslána.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7.</w:t>
      </w:r>
      <w:r>
        <w:rPr>
          <w:b w:val="0"/>
          <w:i w:val="0"/>
          <w:sz w:val="21"/>
        </w:rPr>
        <w:tab/>
        <w:t>Seznam klíčových lidí.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8.</w:t>
      </w:r>
      <w:r>
        <w:rPr>
          <w:b w:val="0"/>
          <w:i w:val="0"/>
          <w:sz w:val="21"/>
        </w:rPr>
        <w:tab/>
        <w:t>Doplňující informace, pokud jsou.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9.</w:t>
      </w:r>
      <w:r>
        <w:rPr>
          <w:b w:val="0"/>
          <w:i w:val="0"/>
          <w:sz w:val="21"/>
        </w:rPr>
        <w:tab/>
        <w:t>Compliance and self-scoring matrix (Annex B a list Evaluation Matrix z Appendix 1).</w:t>
      </w:r>
    </w:p>
    <w:p>
      <w:pPr>
        <w:spacing w:before="80" w:after="60"/>
      </w:pPr>
      <w:r>
        <w:rPr>
          <w:b w:val="0"/>
          <w:i w:val="0"/>
          <w:sz w:val="21"/>
        </w:rPr>
        <w:t xml:space="preserve">Technická část: </w:t>
      </w:r>
      <w:r>
        <w:rPr>
          <w:b/>
          <w:i w:val="0"/>
          <w:color w:val="13234E"/>
          <w:sz w:val="21"/>
        </w:rPr>
        <w:t>narativ max. 40 stran</w:t>
      </w:r>
      <w:r>
        <w:rPr>
          <w:b w:val="0"/>
          <w:i w:val="0"/>
          <w:sz w:val="21"/>
        </w:rPr>
        <w:t xml:space="preserve"> se sekcemi 1 až 12 v pořadí podle kritérií v kapitole 5. Narativ nesmí obsahovat ceny, obecné marketingové materiály ani obsah dostupný jen přes externí odkazy. Do limitu se nepočítají a neboduje se: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SD1 Algorithm and Protocol Support Matrix:</w:t>
      </w:r>
      <w:r>
        <w:rPr>
          <w:b w:val="0"/>
          <w:i w:val="0"/>
          <w:sz w:val="21"/>
        </w:rPr>
        <w:t xml:space="preserve"> nabízené služby a produkty s verzemi, podporované algoritmy, protokoly a režimy přechodu pro každý kanál v rozsahu.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SD2 Product and Assurance Register:</w:t>
      </w:r>
      <w:r>
        <w:rPr>
          <w:b w:val="0"/>
          <w:i w:val="0"/>
          <w:sz w:val="21"/>
        </w:rPr>
        <w:t xml:space="preserve"> produkty a verze se stavem certifikací a schválení.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SD3 Delivery, Milestone and Resource Schedule:</w:t>
      </w:r>
      <w:r>
        <w:rPr>
          <w:b w:val="0"/>
          <w:i w:val="0"/>
          <w:sz w:val="21"/>
        </w:rPr>
        <w:t xml:space="preserve"> plán dodávek k milníkům, kapacity, klíčoví lidé a role, odchylky od harmonogramu, rizika.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SD4 Deviations and Assumptions:</w:t>
      </w:r>
      <w:r>
        <w:rPr>
          <w:b w:val="0"/>
          <w:i w:val="0"/>
          <w:sz w:val="21"/>
        </w:rPr>
        <w:t xml:space="preserve"> odchylky od požadavků a předpoklady, na kterých nabídka stojí. Sem patří i </w:t>
      </w:r>
      <w:r>
        <w:rPr>
          <w:b/>
          <w:i w:val="0"/>
          <w:color w:val="13234E"/>
          <w:sz w:val="21"/>
        </w:rPr>
        <w:t>exportní omezení</w:t>
      </w:r>
      <w:r>
        <w:rPr>
          <w:b w:val="0"/>
          <w:i w:val="0"/>
          <w:sz w:val="21"/>
        </w:rPr>
        <w:t>, která SOW požaduje uvést už v nabídce.</w:t>
      </w:r>
    </w:p>
    <w:p>
      <w:pPr>
        <w:spacing w:before="160" w:after="60"/>
      </w:pPr>
      <w:r>
        <w:rPr>
          <w:b/>
          <w:i w:val="0"/>
          <w:color w:val="3D7A2F"/>
          <w:sz w:val="22"/>
        </w:rPr>
        <w:t>Cenová nabídka</w:t>
      </w:r>
    </w:p>
    <w:p>
      <w:pPr>
        <w:spacing w:before="0" w:after="120"/>
      </w:pPr>
      <w:r>
        <w:rPr>
          <w:b w:val="0"/>
          <w:i w:val="0"/>
          <w:sz w:val="21"/>
        </w:rPr>
        <w:t>Enclosure 4 jako podepsaný PDF a vyplněný Excel, v USD, pevná cena včetně případných slev a cestovních nákladů. Ceny nesmí být nikde v technické nabídce.</w:t>
      </w:r>
    </w:p>
    <w:p>
      <w:pPr>
        <w:spacing w:before="160" w:after="60"/>
      </w:pPr>
      <w:r>
        <w:rPr>
          <w:b/>
          <w:i w:val="0"/>
          <w:color w:val="3D7A2F"/>
          <w:sz w:val="22"/>
        </w:rPr>
        <w:t>Kam a jak poslat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Technická nabídka:</w:t>
      </w:r>
      <w:r>
        <w:rPr>
          <w:b w:val="0"/>
          <w:i w:val="0"/>
          <w:sz w:val="21"/>
        </w:rPr>
        <w:t xml:space="preserve"> hqsact.techproposal@nato.int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Cenová nabídka:</w:t>
      </w:r>
      <w:r>
        <w:rPr>
          <w:b w:val="0"/>
          <w:i w:val="0"/>
          <w:sz w:val="21"/>
        </w:rPr>
        <w:t xml:space="preserve"> hqsact.priceproposal@nato.int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Předmět e-mailu podle vzoru:</w:t>
      </w:r>
      <w:r>
        <w:rPr>
          <w:b w:val="0"/>
          <w:i w:val="0"/>
          <w:sz w:val="21"/>
        </w:rPr>
        <w:t xml:space="preserve"> „RFP-ACT-SACT-26-90_Tech_ABC Inc.“ (u cenové obdobně).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Tištěné nabídky se nepřijímají. Limit velikosti e-mailu není uveden, zpoždění serveru jde za uchazečem, posílejte s rezervou.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Dotazy k zadání:</w:t>
      </w:r>
      <w:r>
        <w:rPr>
          <w:b w:val="0"/>
          <w:i w:val="0"/>
          <w:sz w:val="21"/>
        </w:rPr>
        <w:t xml:space="preserve"> hqsact.contracting@nato.int (lhůta pro dotazy skončila 28. 10. 2026).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7.  Postup krok za krokem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1.</w:t>
      </w:r>
      <w:r>
        <w:rPr>
          <w:b w:val="0"/>
          <w:i w:val="0"/>
          <w:sz w:val="21"/>
        </w:rPr>
        <w:tab/>
      </w:r>
      <w:r>
        <w:rPr>
          <w:b/>
          <w:i w:val="0"/>
          <w:color w:val="13234E"/>
          <w:sz w:val="21"/>
        </w:rPr>
        <w:t>Rozhodněte rychle go / no-go.</w:t>
      </w:r>
      <w:r>
        <w:rPr>
          <w:b w:val="0"/>
          <w:i w:val="0"/>
          <w:sz w:val="21"/>
        </w:rPr>
        <w:t xml:space="preserve"> Bez NATO SECRET FSC a PSC k začátku plnění a bez 3 relevantních referencí nemá smysl pokračovat.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2.</w:t>
      </w:r>
      <w:r>
        <w:rPr>
          <w:b w:val="0"/>
          <w:i w:val="0"/>
          <w:sz w:val="21"/>
        </w:rPr>
        <w:tab/>
      </w:r>
      <w:r>
        <w:rPr>
          <w:b/>
          <w:i w:val="0"/>
          <w:color w:val="13234E"/>
          <w:sz w:val="21"/>
        </w:rPr>
        <w:t>Požádejte o Declaration of Eligibility za sebe i za každého subdodavatele.</w:t>
      </w:r>
      <w:r>
        <w:rPr>
          <w:b w:val="0"/>
          <w:i w:val="0"/>
          <w:sz w:val="21"/>
        </w:rPr>
        <w:t xml:space="preserve"> Tohle je krok s nejdelší čekací dobou mimo vaši kontrolu.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3.</w:t>
      </w:r>
      <w:r>
        <w:rPr>
          <w:b w:val="0"/>
          <w:i w:val="0"/>
          <w:sz w:val="21"/>
        </w:rPr>
        <w:tab/>
      </w:r>
      <w:r>
        <w:rPr>
          <w:b/>
          <w:i w:val="0"/>
          <w:color w:val="13234E"/>
          <w:sz w:val="21"/>
        </w:rPr>
        <w:t>Stáhněte nejnovější verzi zadání, Annex B a odpovědi na dotazy z act.nato.int.</w:t>
      </w:r>
      <w:r>
        <w:rPr>
          <w:b w:val="0"/>
          <w:i w:val="0"/>
          <w:sz w:val="21"/>
        </w:rPr>
        <w:t xml:space="preserve"> Zkontrolujte, jestli po Amendment 1 nevyšla další změna.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4.</w:t>
      </w:r>
      <w:r>
        <w:rPr>
          <w:b w:val="0"/>
          <w:i w:val="0"/>
          <w:sz w:val="21"/>
        </w:rPr>
        <w:tab/>
        <w:t>Uzavřete konsorcium nebo subdodávky: smlouva, lídr, plná moc, prověrky všech partnerů.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5.</w:t>
      </w:r>
      <w:r>
        <w:rPr>
          <w:b w:val="0"/>
          <w:i w:val="0"/>
          <w:sz w:val="21"/>
        </w:rPr>
        <w:tab/>
      </w:r>
      <w:r>
        <w:rPr>
          <w:b/>
          <w:i w:val="0"/>
          <w:color w:val="13234E"/>
          <w:sz w:val="21"/>
        </w:rPr>
        <w:t>Vyplňte self-scoring matici (Annex B).</w:t>
      </w:r>
      <w:r>
        <w:rPr>
          <w:b w:val="0"/>
          <w:i w:val="0"/>
          <w:sz w:val="21"/>
        </w:rPr>
        <w:t xml:space="preserve"> Ukáže, kde vám hrozí nula bodů, a podle ní stavte narativ.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6.</w:t>
      </w:r>
      <w:r>
        <w:rPr>
          <w:b w:val="0"/>
          <w:i w:val="0"/>
          <w:sz w:val="21"/>
        </w:rPr>
        <w:tab/>
      </w:r>
      <w:r>
        <w:rPr>
          <w:b/>
          <w:i w:val="0"/>
          <w:color w:val="13234E"/>
          <w:sz w:val="21"/>
        </w:rPr>
        <w:t>Napište narativ v 12 sekcích, max.</w:t>
      </w:r>
      <w:r>
        <w:rPr>
          <w:b w:val="0"/>
          <w:i w:val="0"/>
          <w:sz w:val="21"/>
        </w:rPr>
        <w:t xml:space="preserve"> 40 stran, bez cen a marketingu. Přílohy SD1 až SD4 zvlášť.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7.</w:t>
      </w:r>
      <w:r>
        <w:rPr>
          <w:b w:val="0"/>
          <w:i w:val="0"/>
          <w:sz w:val="21"/>
        </w:rPr>
        <w:tab/>
        <w:t>Připravte cenu v Enclosure 4 (PDF a Excel, USD), včetně cest k milníkům.</w:t>
      </w:r>
    </w:p>
    <w:p>
      <w:pPr>
        <w:tabs>
          <w:tab w:pos="425" w:val="left"/>
        </w:tabs>
        <w:spacing w:after="80"/>
        <w:ind w:left="425" w:hanging="425"/>
      </w:pPr>
      <w:r>
        <w:rPr>
          <w:b/>
          <w:i w:val="0"/>
          <w:color w:val="13234E"/>
          <w:sz w:val="21"/>
        </w:rPr>
        <w:t>8.</w:t>
      </w:r>
      <w:r>
        <w:rPr>
          <w:b w:val="0"/>
          <w:i w:val="0"/>
          <w:sz w:val="21"/>
        </w:rPr>
        <w:tab/>
      </w:r>
      <w:r>
        <w:rPr>
          <w:b/>
          <w:i w:val="0"/>
          <w:color w:val="13234E"/>
          <w:sz w:val="21"/>
        </w:rPr>
        <w:t>Podepište, zkontrolujte podle Enclosure 1 a pošlete obě části na dva různé e-maily s rezervou před 12.</w:t>
      </w:r>
      <w:r>
        <w:rPr>
          <w:b w:val="0"/>
          <w:i w:val="0"/>
          <w:sz w:val="21"/>
        </w:rPr>
        <w:t xml:space="preserve"> 11. 2026, 15:00 našeho času.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8.  Co si připravit, checklist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Doklad o NATO SECRET Facility Security Clearance pro firmu i všechny subdodavatele.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Seznam klíčových lidí s občanstvím (všemi) a NATO SECRET Personnel Security Clearance.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Declaration of Eligibility (Enclosure 5) za každý subjekt v nabídce.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Tři reference za posledních 5 let ve formuláři Enclosure 3, podepsané oprávněnou osobou, s kontakty na klienty a souhlasem s jejich oslovením.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Compliance Statement (Enclosure 2), včetně případných odchylek od HQ SACT General Terms and Conditions.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Self-scoring matice (Annex B).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Narativ max. 40 stran ve 12 sekcích a přílohy SD1 až SD4.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Cenová nabídka (Enclosure 4, PDF a Excel, USD).</w:t>
      </w:r>
    </w:p>
    <w:p>
      <w:pPr>
        <w:pStyle w:val="ListBullet"/>
        <w:spacing w:after="60"/>
      </w:pPr>
      <w:r>
        <w:rPr>
          <w:b w:val="0"/>
          <w:i w:val="0"/>
          <w:sz w:val="21"/>
        </w:rPr>
        <w:t>U konsorcia smlouva a doklad o pravomoci lídra.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9.  Na co si dát pozor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Generativní AI:</w:t>
      </w:r>
      <w:r>
        <w:rPr>
          <w:b w:val="0"/>
          <w:i w:val="0"/>
          <w:sz w:val="21"/>
        </w:rPr>
        <w:t xml:space="preserve"> HQ SACT podle odst. 10b nepřijímá nabídky připravené celé nebo zčásti pomocí nástrojů generativní AI a může je bez dalšího odmítnout. Nabídku pište sami.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Nula bodů = konec:</w:t>
      </w:r>
      <w:r>
        <w:rPr>
          <w:b w:val="0"/>
          <w:i w:val="0"/>
          <w:sz w:val="21"/>
        </w:rPr>
        <w:t xml:space="preserve"> stačí jedno kritérium s nulou a nabídka je technicky nevyhovující, i když jinde exceluje.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Bez částečné nabídky:</w:t>
      </w:r>
      <w:r>
        <w:rPr>
          <w:b w:val="0"/>
          <w:i w:val="0"/>
          <w:sz w:val="21"/>
        </w:rPr>
        <w:t xml:space="preserve"> musíte pokrýt celý rozsah, všech 13 deliverables.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QKD nepoužívat:</w:t>
      </w:r>
      <w:r>
        <w:rPr>
          <w:b w:val="0"/>
          <w:i w:val="0"/>
          <w:sz w:val="21"/>
        </w:rPr>
        <w:t xml:space="preserve"> řešení postavené na QKD požadavky nesplní. Jde o PQC.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Opožděné nabídky:</w:t>
      </w:r>
      <w:r>
        <w:rPr>
          <w:b w:val="0"/>
          <w:i w:val="0"/>
          <w:sz w:val="21"/>
        </w:rPr>
        <w:t xml:space="preserve"> nepřijímají se, rozhoduje čas doručení e-mailu.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Ceny jen v cenové části:</w:t>
      </w:r>
      <w:r>
        <w:rPr>
          <w:b w:val="0"/>
          <w:i w:val="0"/>
          <w:sz w:val="21"/>
        </w:rPr>
        <w:t xml:space="preserve"> cokoli s cenou v technické nabídce je chyba.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Platnost a financování:</w:t>
      </w:r>
      <w:r>
        <w:rPr>
          <w:b w:val="0"/>
          <w:i w:val="0"/>
          <w:sz w:val="21"/>
        </w:rPr>
        <w:t xml:space="preserve"> nabídka platí 120 dní od uzávěrky; zadání uvádí, že zadání smlouvy závisí na zajištění financování.</w:t>
      </w:r>
    </w:p>
    <w:p>
      <w:pPr>
        <w:pStyle w:val="ListBullet"/>
        <w:spacing w:after="60"/>
      </w:pPr>
      <w:r>
        <w:rPr>
          <w:b/>
          <w:i w:val="0"/>
          <w:color w:val="13234E"/>
          <w:sz w:val="21"/>
        </w:rPr>
        <w:t>Smluvní podmínky:</w:t>
      </w:r>
      <w:r>
        <w:rPr>
          <w:b w:val="0"/>
          <w:i w:val="0"/>
          <w:sz w:val="21"/>
        </w:rPr>
        <w:t xml:space="preserve"> platí HQ SACT General Terms and Conditions (verze 18092026); odchylky je nutné uvést už při podání.</w:t>
      </w:r>
    </w:p>
    <w:p>
      <w:pPr>
        <w:spacing w:before="280" w:after="80"/>
      </w:pPr>
      <w:r>
        <w:rPr>
          <w:b/>
          <w:i w:val="0"/>
          <w:color w:val="13234E"/>
          <w:sz w:val="26"/>
        </w:rPr>
        <w:t>10.  Kam dál, když tahle zakázka nesedí</w:t>
      </w:r>
    </w:p>
    <w:p>
      <w:pPr>
        <w:spacing w:before="0" w:after="120"/>
      </w:pPr>
      <w:r>
        <w:rPr>
          <w:b w:val="0"/>
          <w:i w:val="0"/>
          <w:sz w:val="21"/>
        </w:rPr>
        <w:t>Pokud nemáte prověrky nebo reference, tuhle zakázku realisticky nestihnete. Je to ale signál, že NATO migraci na post-quantum kryptografii reálně nakupuje, a další příležitosti v této oblasti lze čekat. Sledujte zakázky na act.nato.int/opportunities/contracting a ozvěte se nám: probereme, které programy (NATO DIANA, EDF, EIC a další) dávají smysl pro vaši fázi.</w:t>
      </w:r>
    </w:p>
    <w:p>
      <w:pPr>
        <w:spacing w:before="280" w:after="120"/>
      </w:pPr>
      <w:r>
        <w:rPr>
          <w:b w:val="0"/>
          <w:i w:val="0"/>
          <w:color w:val="556075"/>
          <w:sz w:val="18"/>
        </w:rPr>
        <w:t>Zdroje: RFP-ACT-SACT-26-90 Quantum Zero Beacon Project, Amendment 1 (act.nato.int/wp-content/uploads/2026/10/rfp026090_amdt1a.pdf); NATO Quantum Technology Roadmap, 29. 9. 2026 (nato.int). Tento průvodce je shrnutí pro orientaci, závazné je znění zadávací dokumentace. Aktualizováno 30. 10. 2026.</w:t>
      </w:r>
    </w:p>
    <w:p>
      <w:pPr>
        <w:spacing w:before="80" w:after="120"/>
      </w:pPr>
      <w:r>
        <w:rPr>
          <w:b/>
          <w:i w:val="0"/>
          <w:color w:val="13234E"/>
          <w:sz w:val="18"/>
        </w:rPr>
        <w:t>Defence Hub CzechInvest  ·  defencehub@czechinvest.org  ·  defencehub.gov.cz/konzultace</w:t>
      </w:r>
    </w:p>
    <w:sectPr w:rsidR="00FC693F" w:rsidRPr="0006063C" w:rsidSect="00034616"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Průvodce přihláškou: NATO ACT Quantum Zero Beacon Project</dc:title>
  <dc:subject/>
  <dc:creator>Defence Hub CzechInvest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