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b w:val="0"/>
          <w:i w:val="0"/>
          <w:color w:val="5C6886"/>
          <w:sz w:val="18"/>
        </w:rPr>
        <w:t>DEFENCE HUB · CzechInvest · NATO DIANA Accelerator Czechia</w:t>
      </w:r>
    </w:p>
    <w:p>
      <w:pPr>
        <w:spacing w:after="80"/>
      </w:pPr>
      <w:r>
        <w:rPr>
          <w:b/>
          <w:i w:val="0"/>
          <w:color w:val="13234E"/>
          <w:sz w:val="36"/>
        </w:rPr>
        <w:t>Podrobný návod: AGILE, program pro agilní a rychlou obrannou inovaci</w:t>
      </w:r>
    </w:p>
    <w:p>
      <w:pPr>
        <w:spacing w:after="200"/>
      </w:pPr>
      <w:r>
        <w:rPr>
          <w:b w:val="0"/>
          <w:i/>
          <w:color w:val="5C6886"/>
          <w:sz w:val="21"/>
        </w:rPr>
        <w:t>Nový program EU pro rychlou obrannou inovaci, určený SME, startupům a scale-upům. Nařízení schválil Evropský parlament 6. 10. a Rada EU 12. 10. 2026. Program běží v roce 2027, první výzva se čeká začátkem roku 2027. Stav k 17. 10. 2026.</w:t>
      </w:r>
    </w:p>
    <w:tbl>
      <w:tblPr>
        <w:tblStyle w:val="TableGrid"/>
        <w:tblW w:type="auto" w:w="0"/>
        <w:tblLayout w:type="fixed"/>
        <w:tblLook w:firstColumn="1" w:firstRow="1" w:lastColumn="0" w:lastRow="0" w:noHBand="0" w:noVBand="1" w:val="04A0"/>
      </w:tblPr>
      <w:tblGrid>
        <w:gridCol w:w="2381"/>
        <w:gridCol w:w="7030"/>
      </w:tblGrid>
      <w:tr>
        <w:tc>
          <w:tcPr>
            <w:tcW w:type="dxa" w:w="2381"/>
            <w:shd w:val="clear" w:color="auto" w:fill="E8EEFA"/>
          </w:tcPr>
          <w:p>
            <w:r/>
            <w:r>
              <w:rPr>
                <w:b/>
                <w:sz w:val="20"/>
              </w:rPr>
              <w:t>Typ programu</w:t>
            </w:r>
          </w:p>
        </w:tc>
        <w:tc>
          <w:tcPr>
            <w:tcW w:type="dxa" w:w="7030"/>
            <w:shd w:val="clear" w:color="auto" w:fill="FFFFFF"/>
          </w:tcPr>
          <w:p>
            <w:r/>
            <w:r>
              <w:rPr>
                <w:sz w:val="20"/>
              </w:rPr>
              <w:t>Jednoletý pilotní program EU (nařízení o programu AGILE), navazuje na EDF/EUDIS, EIC a EDIP</w:t>
            </w:r>
          </w:p>
        </w:tc>
      </w:tr>
      <w:tr>
        <w:tc>
          <w:tcPr>
            <w:tcW w:type="dxa" w:w="2381"/>
            <w:shd w:val="clear" w:color="auto" w:fill="F3F6FC"/>
          </w:tcPr>
          <w:p>
            <w:r/>
            <w:r>
              <w:rPr>
                <w:b/>
                <w:sz w:val="20"/>
              </w:rPr>
              <w:t>Kdo poskytuje</w:t>
            </w:r>
          </w:p>
        </w:tc>
        <w:tc>
          <w:tcPr>
            <w:tcW w:type="dxa" w:w="7030"/>
            <w:shd w:val="clear" w:color="auto" w:fill="F3F6FC"/>
          </w:tcPr>
          <w:p>
            <w:r/>
            <w:r>
              <w:rPr>
                <w:sz w:val="20"/>
              </w:rPr>
              <w:t>Evropská komise (DG DEFIS), přímé řízení; výzvy na EU Funding &amp; Tenders Portal</w:t>
            </w:r>
          </w:p>
        </w:tc>
      </w:tr>
      <w:tr>
        <w:tc>
          <w:tcPr>
            <w:tcW w:type="dxa" w:w="2381"/>
            <w:shd w:val="clear" w:color="auto" w:fill="E8EEFA"/>
          </w:tcPr>
          <w:p>
            <w:r/>
            <w:r>
              <w:rPr>
                <w:b/>
                <w:sz w:val="20"/>
              </w:rPr>
              <w:t>Typ podpory</w:t>
            </w:r>
          </w:p>
        </w:tc>
        <w:tc>
          <w:tcPr>
            <w:tcW w:type="dxa" w:w="7030"/>
            <w:shd w:val="clear" w:color="auto" w:fill="FFFFFF"/>
          </w:tcPr>
          <w:p>
            <w:r/>
            <w:r>
              <w:rPr>
                <w:sz w:val="20"/>
              </w:rPr>
              <w:t>Granty (přednostně paušální, lump sum) až do 100 % způsobilých nákladů; může jít i o zakázku nebo jinou formu podle pracovního programu</w:t>
            </w:r>
          </w:p>
        </w:tc>
      </w:tr>
      <w:tr>
        <w:tc>
          <w:tcPr>
            <w:tcW w:type="dxa" w:w="2381"/>
            <w:shd w:val="clear" w:color="auto" w:fill="F3F6FC"/>
          </w:tcPr>
          <w:p>
            <w:r/>
            <w:r>
              <w:rPr>
                <w:b/>
                <w:sz w:val="20"/>
              </w:rPr>
              <w:t>Kdo žádá</w:t>
            </w:r>
          </w:p>
        </w:tc>
        <w:tc>
          <w:tcPr>
            <w:tcW w:type="dxa" w:w="7030"/>
            <w:shd w:val="clear" w:color="auto" w:fill="F3F6FC"/>
          </w:tcPr>
          <w:p>
            <w:r/>
            <w:r>
              <w:rPr>
                <w:sz w:val="20"/>
              </w:rPr>
              <w:t>SME podle definice EU (včetně startupů a scale-upů) se sídlem a vedením v EU nebo přidružené zemi (EHP, Ukrajina), bez kontroly ze třetí země; jediný žadatel bez konsorcia</w:t>
            </w:r>
          </w:p>
        </w:tc>
      </w:tr>
      <w:tr>
        <w:tc>
          <w:tcPr>
            <w:tcW w:type="dxa" w:w="2381"/>
            <w:shd w:val="clear" w:color="auto" w:fill="E8EEFA"/>
          </w:tcPr>
          <w:p>
            <w:r/>
            <w:r>
              <w:rPr>
                <w:b/>
                <w:sz w:val="20"/>
              </w:rPr>
              <w:t>Rozpočet</w:t>
            </w:r>
          </w:p>
        </w:tc>
        <w:tc>
          <w:tcPr>
            <w:tcW w:type="dxa" w:w="7030"/>
            <w:shd w:val="clear" w:color="auto" w:fill="FFFFFF"/>
          </w:tcPr>
          <w:p>
            <w:r/>
            <w:r>
              <w:rPr>
                <w:sz w:val="20"/>
              </w:rPr>
              <w:t>115 mil. € na rok 2027 (Komise počítá s 20 až 30 projekty); členské státy mohou přidat vlastní prostředky</w:t>
            </w:r>
          </w:p>
        </w:tc>
      </w:tr>
      <w:tr>
        <w:tc>
          <w:tcPr>
            <w:tcW w:type="dxa" w:w="2381"/>
            <w:shd w:val="clear" w:color="auto" w:fill="F3F6FC"/>
          </w:tcPr>
          <w:p>
            <w:r/>
            <w:r>
              <w:rPr>
                <w:b/>
                <w:sz w:val="20"/>
              </w:rPr>
              <w:t>Stav</w:t>
            </w:r>
          </w:p>
        </w:tc>
        <w:tc>
          <w:tcPr>
            <w:tcW w:type="dxa" w:w="7030"/>
            <w:shd w:val="clear" w:color="auto" w:fill="F3F6FC"/>
          </w:tcPr>
          <w:p>
            <w:r/>
            <w:r>
              <w:rPr>
                <w:sz w:val="20"/>
              </w:rPr>
              <w:t>Schváleno: EP 6. 10. 2026, Rada 12. 10. 2026. Čeká na podpis a zveřejnění v Úředním věstníku (účinnost 20 dní poté). Program 1. 1. až 31. 12. 2027, první výzva začátkem 2027</w:t>
            </w:r>
          </w:p>
        </w:tc>
      </w:tr>
      <w:tr>
        <w:tc>
          <w:tcPr>
            <w:tcW w:type="dxa" w:w="2381"/>
            <w:shd w:val="clear" w:color="auto" w:fill="E8EEFA"/>
          </w:tcPr>
          <w:p>
            <w:r/>
            <w:r>
              <w:rPr>
                <w:b/>
                <w:sz w:val="20"/>
              </w:rPr>
              <w:t>Aktualizováno</w:t>
            </w:r>
          </w:p>
        </w:tc>
        <w:tc>
          <w:tcPr>
            <w:tcW w:type="dxa" w:w="7030"/>
            <w:shd w:val="clear" w:color="auto" w:fill="FFFFFF"/>
          </w:tcPr>
          <w:p>
            <w:r/>
            <w:r>
              <w:rPr>
                <w:sz w:val="20"/>
              </w:rPr>
              <w:t>17. 10. 2026 · zdroje: nařízení AGILE (stanovisko EP A10-0188/2026), tisková zpráva Rady 12. 10. 2026, defence-industry-space.ec.europa.eu</w:t>
            </w:r>
          </w:p>
        </w:tc>
      </w:tr>
    </w:tbl>
    <w:p/>
    <w:p>
      <w:pPr>
        <w:spacing w:before="280" w:after="80"/>
      </w:pPr>
      <w:r>
        <w:rPr>
          <w:b/>
          <w:color w:val="13234E"/>
          <w:sz w:val="28"/>
        </w:rPr>
        <w:t>1. Co to je a proč vzniklo</w:t>
      </w:r>
    </w:p>
    <w:p>
      <w:pPr>
        <w:spacing w:after="120"/>
      </w:pPr>
      <w:r>
        <w:rPr>
          <w:b w:val="0"/>
          <w:i w:val="0"/>
          <w:sz w:val="21"/>
        </w:rPr>
        <w:t>AGILE (Programme for Agile and Rapid Defence Innovation) je nový program EU navržený Evropskou komisí 25. 3. 2026 (COM(2026) 135). Cílem je zkrátit cestu emerging a disruptivních obranných technologií z laboratoře k reálnému nasazení v armádách členských států: produkty, které se dají pořídit a nasadit do 1 až 3 let. Rozpočet je 115 mil. € na rok 2027.</w:t>
      </w:r>
    </w:p>
    <w:p>
      <w:pPr>
        <w:spacing w:after="120"/>
      </w:pPr>
      <w:r>
        <w:rPr>
          <w:b w:val="0"/>
          <w:i w:val="0"/>
          <w:sz w:val="21"/>
        </w:rPr>
        <w:t>Program doplňuje, nenahrazuje stávající nástroje: EDF a EUDIS (výzkum a vývoj v konsorciích, podpora netradičních hráčů), EIC Accelerator (od 2026 otevřený i dual-use) a EDIP (výrobní kapacity). AGILE má být rychlejší, jednodušší a určený jednotlivým SME. Nařízení výslovně počítá s návazností na EUDIS Business Accelerator a EIC Accelerator a s komplementaritou k NATO DIANA a NATO Innovation Fund.</w:t>
      </w:r>
    </w:p>
    <w:p>
      <w:pPr>
        <w:spacing w:after="120"/>
      </w:pPr>
      <w:r>
        <w:rPr>
          <w:b w:val="0"/>
          <w:i w:val="0"/>
          <w:sz w:val="21"/>
        </w:rPr>
        <w:t>Tento návod vydává Defence Hub, tým CzechInvestu pro obranné a dual-use inovace, který provozuje NATO DIANA Accelerator Czechia a poskytuje bezplatné nezávislé poradenství k programům financování. Defence Hub se nepodílí na nastavení ani hodnocení programu AGILE.</w:t>
      </w:r>
    </w:p>
    <w:p>
      <w:pPr>
        <w:spacing w:before="280" w:after="80"/>
      </w:pPr>
      <w:r>
        <w:rPr>
          <w:b/>
          <w:color w:val="13234E"/>
          <w:sz w:val="28"/>
        </w:rPr>
        <w:t>2. Pro jaké projekty a obory</w:t>
      </w:r>
    </w:p>
    <w:p>
      <w:pPr>
        <w:spacing w:after="120"/>
      </w:pPr>
      <w:r>
        <w:rPr>
          <w:b w:val="0"/>
          <w:i w:val="0"/>
          <w:sz w:val="21"/>
        </w:rPr>
        <w:t>Program cílí na emerging a disruptivní produkty a technologie pro obranu, tedy takové, které zásadně mění způsob vedení obrany nebo činí stávající řešení efektivnějšími, rychlejšími, odolnějšími či levnějšími, a které se dají plně využít na konci projektu. Výslovně podporuje adaptaci civilních technologií (dual-use), levná softwarově založená řešení, bezosádkové systémy a C-UAS, senzory, komunikační systémy, komponenty pro lokalizaci výroby v EU a vesmírné technologie.</w:t>
      </w:r>
    </w:p>
    <w:p>
      <w:pPr>
        <w:spacing w:after="120"/>
      </w:pPr>
      <w:r>
        <w:rPr>
          <w:b w:val="0"/>
          <w:i w:val="0"/>
          <w:sz w:val="21"/>
        </w:rPr>
        <w:t>Způsobilé aktivity podle nařízení:</w:t>
      </w:r>
    </w:p>
    <w:p>
      <w:pPr>
        <w:pStyle w:val="ListBullet"/>
        <w:spacing w:after="60"/>
      </w:pPr>
      <w:r>
        <w:rPr>
          <w:sz w:val="21"/>
        </w:rPr>
        <w:t>rychlý vývoj emerging a disruptivních produktů a technologií, včetně integrace a adaptace civilních technologií,</w:t>
      </w:r>
    </w:p>
    <w:p>
      <w:pPr>
        <w:pStyle w:val="ListBullet"/>
        <w:spacing w:after="60"/>
      </w:pPr>
      <w:r>
        <w:rPr>
          <w:sz w:val="21"/>
        </w:rPr>
        <w:t>rychlý vývoj komponent nutných pro jejich výrobu v EU a přidružených zemích (lokalizace dodavatelských řetězců),</w:t>
      </w:r>
    </w:p>
    <w:p>
      <w:pPr>
        <w:pStyle w:val="ListBullet"/>
        <w:spacing w:after="60"/>
      </w:pPr>
      <w:r>
        <w:rPr>
          <w:sz w:val="21"/>
        </w:rPr>
        <w:t>uvedení na trh, včetně iterativního polního testování, demonstrací a agregace poptávky,</w:t>
      </w:r>
    </w:p>
    <w:p>
      <w:pPr>
        <w:pStyle w:val="ListBullet"/>
        <w:spacing w:after="60"/>
      </w:pPr>
      <w:r>
        <w:rPr>
          <w:sz w:val="21"/>
        </w:rPr>
        <w:t>spolupráce SME s velkými výrobci (primes), systémovými integrátory a dodavateli první úrovně,</w:t>
      </w:r>
    </w:p>
    <w:p>
      <w:pPr>
        <w:pStyle w:val="ListBullet"/>
        <w:spacing w:after="60"/>
      </w:pPr>
      <w:r>
        <w:rPr>
          <w:sz w:val="21"/>
        </w:rPr>
        <w:t>podpůrné aktivity: kvalifikace, certifikace, přístup k infrastruktuře a výrobním kapacitám, rozvoj dovedností, matchmaking po testování, investment readiness.</w:t>
      </w:r>
    </w:p>
    <w:p>
      <w:pPr>
        <w:spacing w:after="120"/>
      </w:pPr>
      <w:r>
        <w:rPr>
          <w:b w:val="0"/>
          <w:i w:val="0"/>
          <w:sz w:val="21"/>
        </w:rPr>
        <w:t>Program podporuje i rychlý upgrade existujících produktů, pokud použitá IP není omezena subjektem ze třetí země. Nepodporuje základní výzkum, aktivity už plně financované odjinud, technologie zakázané mezinárodním právem ani projekty bez odpovídajících opatření kybernetické bezpečnosti (secure-by-design, zabezpečení dodavatelského řetězce, vulnerability management).</w:t>
      </w:r>
    </w:p>
    <w:p>
      <w:pPr>
        <w:spacing w:before="280" w:after="80"/>
      </w:pPr>
      <w:r>
        <w:rPr>
          <w:b/>
          <w:color w:val="13234E"/>
          <w:sz w:val="28"/>
        </w:rPr>
        <w:t>3. V jaké fázi má firma být</w:t>
      </w:r>
    </w:p>
    <w:p>
      <w:pPr>
        <w:pStyle w:val="ListBullet"/>
        <w:spacing w:after="60"/>
      </w:pPr>
      <w:r>
        <w:rPr>
          <w:sz w:val="21"/>
        </w:rPr>
        <w:t>Cílová skupina: SME včetně startupů a scale-upů, „New Defence“ hráči i firmy s civilním základem.</w:t>
      </w:r>
    </w:p>
    <w:p>
      <w:pPr>
        <w:pStyle w:val="ListBullet"/>
        <w:spacing w:after="60"/>
      </w:pPr>
      <w:r>
        <w:rPr>
          <w:sz w:val="21"/>
        </w:rPr>
        <w:t>Vysoká technologická zralost: řešení, které se během projektu dá dotáhnout k nasazení a nákupu. Program je o testování, validaci, demonstraci a zavedení, ne o ověřování konceptů.</w:t>
      </w:r>
    </w:p>
    <w:p>
      <w:pPr>
        <w:spacing w:after="120"/>
      </w:pPr>
      <w:r>
        <w:rPr>
          <w:b w:val="0"/>
          <w:i w:val="0"/>
          <w:sz w:val="21"/>
        </w:rPr>
        <w:t>Pokud jste v rané fázi, nečekejte na AGILE. Vyzrajte technologii přes nástroje, které běží dnes (EUDIS cascade funding, Defence Hackathons, NATO DIANA), a k první výzvě AGILE přijďte s důkazy, ne se záměrem.</w:t>
      </w:r>
    </w:p>
    <w:p>
      <w:pPr>
        <w:spacing w:before="280" w:after="80"/>
      </w:pPr>
      <w:r>
        <w:rPr>
          <w:b/>
          <w:color w:val="13234E"/>
          <w:sz w:val="28"/>
        </w:rPr>
        <w:t>4. Co získáte</w:t>
      </w:r>
    </w:p>
    <w:p>
      <w:pPr>
        <w:pStyle w:val="ListBullet"/>
        <w:spacing w:after="60"/>
      </w:pPr>
      <w:r>
        <w:rPr>
          <w:sz w:val="21"/>
        </w:rPr>
        <w:t>Až 100 % způsobilých nákladů. Granty přednostně jako paušál (lump sum, financování nevázané na náklady); vyúčtování skutečných nákladů jen tam, kde to jinak nejde.</w:t>
      </w:r>
    </w:p>
    <w:p>
      <w:pPr>
        <w:pStyle w:val="ListBullet"/>
        <w:spacing w:after="60"/>
      </w:pPr>
      <w:r>
        <w:rPr>
          <w:sz w:val="21"/>
        </w:rPr>
        <w:t>Způsobilé jsou i náklady vzniklé až 3 měsíce před uzávěrkou výzvy (akce nesmí být dokončena před podpisem grantové dohody).</w:t>
      </w:r>
    </w:p>
    <w:p>
      <w:pPr>
        <w:pStyle w:val="ListBullet"/>
        <w:spacing w:after="60"/>
      </w:pPr>
      <w:r>
        <w:rPr>
          <w:sz w:val="21"/>
        </w:rPr>
        <w:t>Cílový time-to-grant 4 měsíce: rozhodnutí o udělení grantu na základě čestného prohlášení, doklady se ověřují až ve finálním hodnocení; platba až po jeho dokončení.</w:t>
      </w:r>
    </w:p>
    <w:p>
      <w:pPr>
        <w:pStyle w:val="ListBullet"/>
        <w:spacing w:after="60"/>
      </w:pPr>
      <w:r>
        <w:rPr>
          <w:sz w:val="21"/>
        </w:rPr>
        <w:t>Fast-track přístup k testovacím a experimentálním zařízením v EU a přidružených zemích a do EUDIS Business Accelerator.</w:t>
      </w:r>
    </w:p>
    <w:p>
      <w:pPr>
        <w:pStyle w:val="ListBullet"/>
        <w:spacing w:after="60"/>
      </w:pPr>
      <w:r>
        <w:rPr>
          <w:sz w:val="21"/>
        </w:rPr>
        <w:t>Podpořené produkty mají být zařazeny do Military Sales Catalogue podle nařízení EDIP a zakázka členského státu na výsledný produkt se považuje za zakázku v rámci kooperativního programu (zjednodušené zadávání). Produkty mají být způsobilé i pro nákup Ukrajinou přes Ukraine Support Loan.</w:t>
      </w:r>
    </w:p>
    <w:p>
      <w:pPr>
        <w:spacing w:after="120"/>
      </w:pPr>
      <w:r>
        <w:rPr>
          <w:b w:val="0"/>
          <w:i w:val="0"/>
          <w:sz w:val="21"/>
        </w:rPr>
        <w:t>Výši grantu na projekt nařízení nestanoví; určí ji pracovní program a text výzvy. Komise v březnu 2026 počítala s 20 až 30 projekty z rozpočtu 115 mil. €.</w:t>
      </w:r>
    </w:p>
    <w:p>
      <w:pPr>
        <w:spacing w:before="280" w:after="80"/>
      </w:pPr>
      <w:r>
        <w:rPr>
          <w:b/>
          <w:color w:val="13234E"/>
          <w:sz w:val="28"/>
        </w:rPr>
        <w:t>5. Podmínky způsobilosti</w:t>
      </w:r>
    </w:p>
    <w:p>
      <w:pPr>
        <w:pStyle w:val="ListBullet"/>
        <w:spacing w:after="60"/>
      </w:pPr>
      <w:r>
        <w:rPr>
          <w:sz w:val="21"/>
        </w:rPr>
        <w:t>Příjemci musí být SME podle definice EU (do 250 zaměstnanců a obrat do 50 mil. € nebo bilanční suma do 43 mil. €, včetně propojených a partnerských podniků). Výjimka jen u podpůrných aktivit.</w:t>
      </w:r>
    </w:p>
    <w:p>
      <w:pPr>
        <w:pStyle w:val="ListBullet"/>
        <w:spacing w:after="60"/>
      </w:pPr>
      <w:r>
        <w:rPr>
          <w:sz w:val="21"/>
        </w:rPr>
        <w:t>Sídlo a výkonné vedení v EU nebo v přidružené třetí zemi (EHP/EFTA, Ukrajina). Příjemci nesmí být kontrolováni nepřidruženou třetí zemí ani subjektem z ní. Na rozdíl od EDF nařízení nepřipouští výjimky ani záruky; vlastnická struktura musí být v pořádku už při podání.</w:t>
      </w:r>
    </w:p>
    <w:p>
      <w:pPr>
        <w:pStyle w:val="ListBullet"/>
        <w:spacing w:after="60"/>
      </w:pPr>
      <w:r>
        <w:rPr>
          <w:sz w:val="21"/>
        </w:rPr>
        <w:t>Infrastruktura, zařízení a zdroje použité v projektu musí být po celou dobu v EU nebo přidružené zemi (výjimka jen pokud alternativa neexistuje a není to v rozporu s bezpečnostními zájmy EU; takové náklady nejsou způsobilé).</w:t>
      </w:r>
    </w:p>
    <w:p>
      <w:pPr>
        <w:pStyle w:val="ListBullet"/>
        <w:spacing w:after="60"/>
      </w:pPr>
      <w:r>
        <w:rPr>
          <w:sz w:val="21"/>
        </w:rPr>
        <w:t>Výsledky nesmí být pod kontrolou subjektu z nepřidružené třetí země; převod vlastnictví nebo výhradní licence mimo EU do 3 let po poslední platbě jen s předchozím souhlasem (jinak vrácení podpory).</w:t>
      </w:r>
    </w:p>
    <w:p>
      <w:pPr>
        <w:pStyle w:val="ListBullet"/>
        <w:spacing w:after="60"/>
      </w:pPr>
      <w:r>
        <w:rPr>
          <w:sz w:val="21"/>
        </w:rPr>
        <w:t>Žádat může jediná firma bez konsorcia; subdodávky a malá konsorcia s výzkumnými organizacemi, univerzitami, inkubátory a dalšími subjekty jsou možné.</w:t>
      </w:r>
    </w:p>
    <w:p>
      <w:pPr>
        <w:pStyle w:val="ListBullet"/>
        <w:spacing w:after="60"/>
      </w:pPr>
      <w:r>
        <w:rPr>
          <w:sz w:val="21"/>
        </w:rPr>
        <w:t>Zvláštní režim „inducement intervention“: pracovní program může umožnit účast SME ze zemí mimo EU, které se zaváží přesunout sídlo nebo vedení do EU; podmínky se musí splnit ve lhůtě, bez zálohy, max. 20 % rozpočtu programu.</w:t>
      </w:r>
    </w:p>
    <w:p>
      <w:pPr>
        <w:spacing w:before="280" w:after="80"/>
      </w:pPr>
      <w:r>
        <w:rPr>
          <w:b/>
          <w:color w:val="13234E"/>
          <w:sz w:val="28"/>
        </w:rPr>
        <w:t>6. Jak žádat, krok za krokem</w:t>
      </w:r>
    </w:p>
    <w:p>
      <w:pPr>
        <w:pStyle w:val="ListBullet"/>
        <w:spacing w:after="60"/>
      </w:pPr>
      <w:r>
        <w:rPr>
          <w:sz w:val="21"/>
        </w:rPr>
        <w:t>Sledujte zveřejnění nařízení v Úředním věstníku a pracovního programu Komise. Pracovní program určí kategorie aktivit, témata („challenges“ definované s členskými státy na základě Capability Development Plan a CARD, s EDA), formu podpory, hodnoticí kritéria a termíny.</w:t>
      </w:r>
    </w:p>
    <w:p>
      <w:pPr>
        <w:pStyle w:val="ListBullet"/>
        <w:spacing w:after="60"/>
      </w:pPr>
      <w:r>
        <w:rPr>
          <w:sz w:val="21"/>
        </w:rPr>
        <w:t>Sledujte výzvy na EU Funding &amp; Tenders Portal pod filtrem programu AGILE. Část výzev může být dvoukolová: nejdřív krátké vyjádření zájmu bez určení nástroje, pak dopracování vybraných návrhů.</w:t>
      </w:r>
    </w:p>
    <w:p>
      <w:pPr>
        <w:pStyle w:val="ListBullet"/>
        <w:spacing w:after="60"/>
      </w:pPr>
      <w:r>
        <w:rPr>
          <w:sz w:val="21"/>
        </w:rPr>
        <w:t>Před psaním návrhu ověřte způsobilost podle textu výzvy: SME status, sídlo a vedení, kontrola, bezpečnostní požadavky, kybernetická bezpečnost.</w:t>
      </w:r>
    </w:p>
    <w:p>
      <w:pPr>
        <w:pStyle w:val="ListBullet"/>
        <w:spacing w:after="60"/>
      </w:pPr>
      <w:r>
        <w:rPr>
          <w:sz w:val="21"/>
        </w:rPr>
        <w:t>Návrh postavte na konkrétní operační potřebě: jaký problém armády řeší, jak a kdy se dá nasadit (1 až 3 roky), kolik stojí, jaká je cesta k nákupu. Zájem konkrétního end-usera (AČR, MO ČR) je výhoda; Defence Hub s propojením pomůže.</w:t>
      </w:r>
    </w:p>
    <w:p>
      <w:pPr>
        <w:pStyle w:val="ListBullet"/>
        <w:spacing w:after="60"/>
      </w:pPr>
      <w:r>
        <w:rPr>
          <w:sz w:val="21"/>
        </w:rPr>
        <w:t>Podejte online přes portál. Počítejte s čestným prohlášením, na jehož základě se rozhoduje; nepravdivé údaje vedou k ukončení smlouvy a vrácení podpory.</w:t>
      </w:r>
    </w:p>
    <w:p>
      <w:pPr>
        <w:spacing w:before="280" w:after="80"/>
      </w:pPr>
      <w:r>
        <w:rPr>
          <w:b/>
          <w:color w:val="13234E"/>
          <w:sz w:val="28"/>
        </w:rPr>
        <w:t>7. Časování</w:t>
      </w:r>
    </w:p>
    <w:p>
      <w:pPr>
        <w:pStyle w:val="ListBullet"/>
        <w:spacing w:after="60"/>
      </w:pPr>
      <w:r>
        <w:rPr>
          <w:sz w:val="21"/>
        </w:rPr>
        <w:t>25. 3. 2026: návrh Komise. 3. 6. 2026: mandát Rady. 29. 6. 2026: zpráva výborů EP (SEDE a ITRE). 15. 7. 2026: provizorní dohoda EP a Rady. 6. 10. 2026: plénum EP. 12. 10. 2026: formální schválení Radou.</w:t>
      </w:r>
    </w:p>
    <w:p>
      <w:pPr>
        <w:pStyle w:val="ListBullet"/>
        <w:spacing w:after="60"/>
      </w:pPr>
      <w:r>
        <w:rPr>
          <w:sz w:val="21"/>
        </w:rPr>
        <w:t>Následuje podpis předsedů EP a Rady a zveřejnění v Úředním věstníku; nařízení vstupuje v platnost 20 dní poté.</w:t>
      </w:r>
    </w:p>
    <w:p>
      <w:pPr>
        <w:pStyle w:val="ListBullet"/>
        <w:spacing w:after="60"/>
      </w:pPr>
      <w:r>
        <w:rPr>
          <w:sz w:val="21"/>
        </w:rPr>
        <w:t>Program běží od 1. 1. do 31. 12. 2027. První výzva se čeká začátkem roku 2027, konkrétní termíny zatím nejsou. Závazky mohou být rozloženy do více let a projekty mohou dobíhat po roce 2027.</w:t>
      </w:r>
    </w:p>
    <w:p>
      <w:pPr>
        <w:pStyle w:val="ListBullet"/>
        <w:spacing w:after="60"/>
      </w:pPr>
      <w:r>
        <w:rPr>
          <w:sz w:val="21"/>
        </w:rPr>
        <w:t>Komise zveřejní průběžnou zprávu do 1. 7. 2028 a na jejím základě rozhodne o pokračování v rámci víceletého rámce 2028 až 2034.</w:t>
      </w:r>
    </w:p>
    <w:p>
      <w:pPr>
        <w:spacing w:before="280" w:after="80"/>
      </w:pPr>
      <w:r>
        <w:rPr>
          <w:b/>
          <w:color w:val="13234E"/>
          <w:sz w:val="28"/>
        </w:rPr>
        <w:t>8. Co si připravit, checklist</w:t>
      </w:r>
    </w:p>
    <w:p>
      <w:pPr>
        <w:pStyle w:val="ListBullet"/>
        <w:spacing w:after="60"/>
      </w:pPr>
      <w:r>
        <w:rPr>
          <w:sz w:val="21"/>
        </w:rPr>
        <w:t>Ověřený SME status a dokumentace vlastnické a kontrolní struktury (žádná kontrola mimo EU a přidružené země).</w:t>
      </w:r>
    </w:p>
    <w:p>
      <w:pPr>
        <w:pStyle w:val="ListBullet"/>
        <w:spacing w:after="60"/>
      </w:pPr>
      <w:r>
        <w:rPr>
          <w:sz w:val="21"/>
        </w:rPr>
        <w:t>Registrace organizace na EU Funding &amp; Tenders Portal (PIC) a připravená čestná prohlášení.</w:t>
      </w:r>
    </w:p>
    <w:p>
      <w:pPr>
        <w:pStyle w:val="ListBullet"/>
        <w:spacing w:after="60"/>
      </w:pPr>
      <w:r>
        <w:rPr>
          <w:sz w:val="21"/>
        </w:rPr>
        <w:t>Popis řešení jazykem operační potřeby a důkazy zralosti: testy, demonstrátor, pilotní data, TRL.</w:t>
      </w:r>
    </w:p>
    <w:p>
      <w:pPr>
        <w:pStyle w:val="ListBullet"/>
        <w:spacing w:after="60"/>
      </w:pPr>
      <w:r>
        <w:rPr>
          <w:sz w:val="21"/>
        </w:rPr>
        <w:t>Plán testování a demonstrací, včetně přístupu k testovací infrastruktuře; rozpočet ve formě paušálů (milníky, výstupy).</w:t>
      </w:r>
    </w:p>
    <w:p>
      <w:pPr>
        <w:pStyle w:val="ListBullet"/>
        <w:spacing w:after="60"/>
      </w:pPr>
      <w:r>
        <w:rPr>
          <w:sz w:val="21"/>
        </w:rPr>
        <w:t>Dokumentace kybernetické bezpečnosti: secure-by-design, zabezpečení dodavatelského řetězce, vulnerability management, testování odolnosti.</w:t>
      </w:r>
    </w:p>
    <w:p>
      <w:pPr>
        <w:pStyle w:val="ListBullet"/>
        <w:spacing w:after="60"/>
      </w:pPr>
      <w:r>
        <w:rPr>
          <w:sz w:val="21"/>
        </w:rPr>
        <w:t>Kapacita projekt dodat ve zkráceném čase a představa o cestě k nákupu (end-user, prime, integrátor).</w:t>
      </w:r>
    </w:p>
    <w:p>
      <w:pPr>
        <w:spacing w:before="280" w:after="80"/>
      </w:pPr>
      <w:r>
        <w:rPr>
          <w:b/>
          <w:color w:val="13234E"/>
          <w:sz w:val="28"/>
        </w:rPr>
        <w:t>9. Co hodnotitelé ocení</w:t>
      </w:r>
    </w:p>
    <w:p>
      <w:pPr>
        <w:spacing w:after="120"/>
      </w:pPr>
      <w:r>
        <w:rPr>
          <w:b w:val="0"/>
          <w:i w:val="0"/>
          <w:sz w:val="21"/>
        </w:rPr>
        <w:t>Nařízení stanoví principy kritérií, podrobnosti určí pracovní program. Hodnotit se bude:</w:t>
      </w:r>
    </w:p>
    <w:p>
      <w:pPr>
        <w:pStyle w:val="ListBullet"/>
        <w:spacing w:after="60"/>
      </w:pPr>
      <w:r>
        <w:rPr>
          <w:sz w:val="21"/>
        </w:rPr>
        <w:t>disruptivní potenciál, včetně zásadní změny díky nové technologii nebo novému, rychlejšímu či levnějšímu využití stávajících technologií,</w:t>
      </w:r>
    </w:p>
    <w:p>
      <w:pPr>
        <w:pStyle w:val="ListBullet"/>
        <w:spacing w:after="60"/>
      </w:pPr>
      <w:r>
        <w:rPr>
          <w:sz w:val="21"/>
        </w:rPr>
        <w:t>kvalita návrhu a schopnost projekt realizovat,</w:t>
      </w:r>
    </w:p>
    <w:p>
      <w:pPr>
        <w:pStyle w:val="ListBullet"/>
        <w:spacing w:after="60"/>
      </w:pPr>
      <w:r>
        <w:rPr>
          <w:sz w:val="21"/>
        </w:rPr>
        <w:t>dopad v obraně s ohledem na potřeby členských států: nákladová efektivita, rychlost dodání, připravenost k operačnímu použití,</w:t>
      </w:r>
    </w:p>
    <w:p>
      <w:pPr>
        <w:pStyle w:val="ListBullet"/>
        <w:spacing w:after="60"/>
      </w:pPr>
      <w:r>
        <w:rPr>
          <w:sz w:val="21"/>
        </w:rPr>
        <w:t>navíc může být zohledněno zvýšení bezpečnosti dodávek a potenciál uplatnění na trhu včetně existence věrohodné cesty k zakázce.</w:t>
      </w:r>
    </w:p>
    <w:p>
      <w:pPr>
        <w:spacing w:before="280" w:after="80"/>
      </w:pPr>
      <w:r>
        <w:rPr>
          <w:b/>
          <w:color w:val="13234E"/>
          <w:sz w:val="28"/>
        </w:rPr>
        <w:t>10. Časté chyby</w:t>
      </w:r>
    </w:p>
    <w:p>
      <w:pPr>
        <w:pStyle w:val="ListBullet"/>
        <w:spacing w:after="60"/>
      </w:pPr>
      <w:r>
        <w:rPr>
          <w:sz w:val="21"/>
        </w:rPr>
        <w:t>Brát AGILE jako dostupné financování už teď. Výzva není otevřená; první se čeká začátkem 2027.</w:t>
      </w:r>
    </w:p>
    <w:p>
      <w:pPr>
        <w:pStyle w:val="ListBullet"/>
        <w:spacing w:after="60"/>
      </w:pPr>
      <w:r>
        <w:rPr>
          <w:sz w:val="21"/>
        </w:rPr>
        <w:t>Čekat na AGILE místo využití nástrojů, které běží dnes, a ztratit rok vývoje.</w:t>
      </w:r>
    </w:p>
    <w:p>
      <w:pPr>
        <w:pStyle w:val="ListBullet"/>
        <w:spacing w:after="60"/>
      </w:pPr>
      <w:r>
        <w:rPr>
          <w:sz w:val="21"/>
        </w:rPr>
        <w:t>Plánovat podle neověřených čísel (např. „5 mil. € na projekt“). Výše grantu a témata budou až v pracovním programu.</w:t>
      </w:r>
    </w:p>
    <w:p>
      <w:pPr>
        <w:pStyle w:val="ListBullet"/>
        <w:spacing w:after="60"/>
      </w:pPr>
      <w:r>
        <w:rPr>
          <w:sz w:val="21"/>
        </w:rPr>
        <w:t>Podcenit vlastnickou strukturu. Bez výjimek a záruk znamená, že investor ze třetí země s kontrolním vlivem firmu z programu vyřadí.</w:t>
      </w:r>
    </w:p>
    <w:p>
      <w:pPr>
        <w:pStyle w:val="ListBullet"/>
        <w:spacing w:after="60"/>
      </w:pPr>
      <w:r>
        <w:rPr>
          <w:sz w:val="21"/>
        </w:rPr>
        <w:t>Popsat produkt obecně místo konkrétní operační potřeby a cesty k nasazení.</w:t>
      </w:r>
    </w:p>
    <w:p>
      <w:pPr>
        <w:spacing w:before="280" w:after="80"/>
      </w:pPr>
      <w:r>
        <w:rPr>
          <w:b/>
          <w:color w:val="13234E"/>
          <w:sz w:val="28"/>
        </w:rPr>
        <w:t>11. Kam jinam, když AGILE nesedí</w:t>
      </w:r>
    </w:p>
    <w:p>
      <w:pPr>
        <w:pStyle w:val="ListBullet"/>
        <w:spacing w:after="60"/>
      </w:pPr>
      <w:r>
        <w:rPr>
          <w:sz w:val="21"/>
        </w:rPr>
        <w:t>Raná fáze a zrání technologie: EUDIS cascade funding, Defence Hackathons, NATO DIANA.</w:t>
      </w:r>
    </w:p>
    <w:p>
      <w:pPr>
        <w:pStyle w:val="ListBullet"/>
        <w:spacing w:after="60"/>
      </w:pPr>
      <w:r>
        <w:rPr>
          <w:sz w:val="21"/>
        </w:rPr>
        <w:t>Akcelerace a investiční připravenost: EUDIS Business Accelerator (seed voucher), NATO Innovation Fund (equity).</w:t>
      </w:r>
    </w:p>
    <w:p>
      <w:pPr>
        <w:pStyle w:val="ListBullet"/>
        <w:spacing w:after="60"/>
      </w:pPr>
      <w:r>
        <w:rPr>
          <w:sz w:val="21"/>
        </w:rPr>
        <w:t>Kolaborativní výzkum a vývoj: EDF (včetně výzev pro SME a disruptivní technologie), národně PRODEF.</w:t>
      </w:r>
    </w:p>
    <w:p>
      <w:pPr>
        <w:pStyle w:val="ListBullet"/>
        <w:spacing w:after="60"/>
      </w:pPr>
      <w:r>
        <w:rPr>
          <w:sz w:val="21"/>
        </w:rPr>
        <w:t>Výrobní kapacity a společné zakázky: EDIP. Jedna firma blízko trhu: EIC Accelerator (dual-use).</w:t>
      </w:r>
    </w:p>
    <w:p>
      <w:pPr>
        <w:spacing w:after="120"/>
      </w:pPr>
      <w:r>
        <w:rPr>
          <w:b w:val="0"/>
          <w:i w:val="0"/>
          <w:sz w:val="21"/>
        </w:rPr>
        <w:t>Bezplatná a nezávislá pomoc s výběrem programu a přípravou přihlášky: Defence Hub CzechInvest, defencehub@czechinvest.org, rezervace konzultace na defencehub.gov.cz/konzultace/.</w:t>
      </w:r>
    </w:p>
    <w:p>
      <w:pPr>
        <w:spacing w:after="120"/>
      </w:pPr>
      <w:r>
        <w:rPr>
          <w:b w:val="0"/>
          <w:i/>
          <w:color w:val="5C6886"/>
          <w:sz w:val="18"/>
        </w:rPr>
        <w:t>Zdroje: nařízení o programu AGILE (stanovisko EP A10-0188/2026 z 29. 6. 2026, schváleno EP 6. 10. 2026 a Radou 12. 10. 2026), tisková zpráva Rady EU z 12. 10. 2026, defence-industry-space.ec.europa.eu (COM(2026) 135). Aktualizováno 17. 10. 2026. Finální znění bude zveřejněno v Úředním věstníku EU; v případě rozdílu platí zveřejněné nařízení a pracovní program.</w:t>
      </w:r>
    </w:p>
    <w:sectPr w:rsidR="00FC693F" w:rsidRPr="0006063C" w:rsidSect="00034616">
      <w:pgSz w:w="12240" w:h="15840"/>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eastAsia="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